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0CC3" w:rsidRPr="00650CC3" w:rsidRDefault="00650CC3" w:rsidP="00650CC3">
      <w:pPr>
        <w:spacing w:line="480" w:lineRule="auto"/>
        <w:rPr>
          <w:rFonts w:ascii="Times New Roman" w:hAnsi="Times New Roman" w:cs="Times New Roman"/>
          <w:sz w:val="24"/>
          <w:szCs w:val="24"/>
          <w:shd w:val="clear" w:color="auto" w:fill="FFFFFF"/>
        </w:rPr>
      </w:pPr>
    </w:p>
    <w:p w:rsidR="00650CC3" w:rsidRPr="00650CC3" w:rsidRDefault="00650CC3" w:rsidP="00650CC3">
      <w:pPr>
        <w:spacing w:line="480" w:lineRule="auto"/>
        <w:rPr>
          <w:rFonts w:ascii="Times New Roman" w:hAnsi="Times New Roman" w:cs="Times New Roman"/>
          <w:sz w:val="24"/>
          <w:szCs w:val="24"/>
          <w:shd w:val="clear" w:color="auto" w:fill="FFFFFF"/>
        </w:rPr>
      </w:pPr>
    </w:p>
    <w:p w:rsidR="00650CC3" w:rsidRPr="00650CC3" w:rsidRDefault="00650CC3" w:rsidP="00650CC3">
      <w:pPr>
        <w:spacing w:line="480" w:lineRule="auto"/>
        <w:rPr>
          <w:rFonts w:ascii="Times New Roman" w:hAnsi="Times New Roman" w:cs="Times New Roman"/>
          <w:sz w:val="24"/>
          <w:szCs w:val="24"/>
          <w:shd w:val="clear" w:color="auto" w:fill="FFFFFF"/>
        </w:rPr>
      </w:pPr>
    </w:p>
    <w:p w:rsidR="00650CC3" w:rsidRPr="00650CC3" w:rsidRDefault="00650CC3" w:rsidP="00650CC3">
      <w:pPr>
        <w:spacing w:line="480" w:lineRule="auto"/>
        <w:rPr>
          <w:rFonts w:ascii="Times New Roman" w:hAnsi="Times New Roman" w:cs="Times New Roman"/>
          <w:sz w:val="24"/>
          <w:szCs w:val="24"/>
          <w:shd w:val="clear" w:color="auto" w:fill="FFFFFF"/>
        </w:rPr>
      </w:pPr>
    </w:p>
    <w:p w:rsidR="00650CC3" w:rsidRPr="00650CC3" w:rsidRDefault="00650CC3" w:rsidP="00650CC3">
      <w:pPr>
        <w:spacing w:line="480" w:lineRule="auto"/>
        <w:rPr>
          <w:rFonts w:ascii="Times New Roman" w:hAnsi="Times New Roman" w:cs="Times New Roman"/>
          <w:sz w:val="24"/>
          <w:szCs w:val="24"/>
          <w:shd w:val="clear" w:color="auto" w:fill="FFFFFF"/>
        </w:rPr>
      </w:pPr>
    </w:p>
    <w:p w:rsidR="00650CC3" w:rsidRPr="00650CC3" w:rsidRDefault="00650CC3" w:rsidP="00650CC3">
      <w:pPr>
        <w:spacing w:line="480" w:lineRule="auto"/>
        <w:rPr>
          <w:rFonts w:ascii="Times New Roman" w:hAnsi="Times New Roman" w:cs="Times New Roman"/>
          <w:sz w:val="24"/>
          <w:szCs w:val="24"/>
          <w:shd w:val="clear" w:color="auto" w:fill="FFFFFF"/>
        </w:rPr>
      </w:pPr>
    </w:p>
    <w:p w:rsidR="00650CC3" w:rsidRPr="00650CC3" w:rsidRDefault="00650CC3" w:rsidP="00650CC3">
      <w:pPr>
        <w:spacing w:line="480" w:lineRule="auto"/>
        <w:jc w:val="center"/>
        <w:rPr>
          <w:rFonts w:ascii="Times New Roman" w:hAnsi="Times New Roman" w:cs="Times New Roman"/>
          <w:sz w:val="24"/>
          <w:szCs w:val="24"/>
        </w:rPr>
      </w:pPr>
      <w:r w:rsidRPr="00650CC3">
        <w:rPr>
          <w:rFonts w:ascii="Times New Roman" w:hAnsi="Times New Roman" w:cs="Times New Roman"/>
          <w:sz w:val="24"/>
          <w:szCs w:val="24"/>
        </w:rPr>
        <w:t>The Temperance Movement and Prohibition</w:t>
      </w:r>
    </w:p>
    <w:p w:rsidR="00650CC3" w:rsidRPr="00650CC3" w:rsidRDefault="00650CC3" w:rsidP="00650CC3">
      <w:pPr>
        <w:spacing w:line="480" w:lineRule="auto"/>
        <w:jc w:val="center"/>
        <w:rPr>
          <w:rFonts w:ascii="Times New Roman" w:hAnsi="Times New Roman" w:cs="Times New Roman"/>
          <w:sz w:val="24"/>
          <w:szCs w:val="24"/>
        </w:rPr>
      </w:pPr>
      <w:r w:rsidRPr="00650CC3">
        <w:rPr>
          <w:rFonts w:ascii="Times New Roman" w:hAnsi="Times New Roman" w:cs="Times New Roman"/>
          <w:sz w:val="24"/>
          <w:szCs w:val="24"/>
        </w:rPr>
        <w:t>Name of Student</w:t>
      </w:r>
    </w:p>
    <w:p w:rsidR="00650CC3" w:rsidRPr="00650CC3" w:rsidRDefault="00650CC3" w:rsidP="00650CC3">
      <w:pPr>
        <w:spacing w:line="480" w:lineRule="auto"/>
        <w:jc w:val="center"/>
        <w:rPr>
          <w:rFonts w:ascii="Times New Roman" w:hAnsi="Times New Roman" w:cs="Times New Roman"/>
          <w:sz w:val="24"/>
          <w:szCs w:val="24"/>
        </w:rPr>
      </w:pPr>
      <w:r w:rsidRPr="00650CC3">
        <w:rPr>
          <w:rFonts w:ascii="Times New Roman" w:hAnsi="Times New Roman" w:cs="Times New Roman"/>
          <w:sz w:val="24"/>
          <w:szCs w:val="24"/>
        </w:rPr>
        <w:t>Name of Institution</w:t>
      </w:r>
    </w:p>
    <w:p w:rsidR="00650CC3" w:rsidRPr="00650CC3" w:rsidRDefault="00650CC3" w:rsidP="00650CC3">
      <w:pPr>
        <w:spacing w:line="480" w:lineRule="auto"/>
        <w:jc w:val="center"/>
        <w:rPr>
          <w:rFonts w:ascii="Times New Roman" w:hAnsi="Times New Roman" w:cs="Times New Roman"/>
          <w:sz w:val="24"/>
          <w:szCs w:val="24"/>
          <w:shd w:val="clear" w:color="auto" w:fill="FFFFFF"/>
        </w:rPr>
      </w:pPr>
      <w:r w:rsidRPr="00650CC3">
        <w:rPr>
          <w:rFonts w:ascii="Times New Roman" w:hAnsi="Times New Roman" w:cs="Times New Roman"/>
          <w:sz w:val="24"/>
          <w:szCs w:val="24"/>
        </w:rPr>
        <w:t>Date</w:t>
      </w:r>
      <w:r w:rsidRPr="00650CC3">
        <w:rPr>
          <w:rFonts w:ascii="Times New Roman" w:hAnsi="Times New Roman" w:cs="Times New Roman"/>
          <w:sz w:val="24"/>
          <w:szCs w:val="24"/>
          <w:shd w:val="clear" w:color="auto" w:fill="FFFFFF"/>
        </w:rPr>
        <w:t xml:space="preserve"> </w:t>
      </w:r>
      <w:r w:rsidRPr="00650CC3">
        <w:rPr>
          <w:rFonts w:ascii="Times New Roman" w:hAnsi="Times New Roman" w:cs="Times New Roman"/>
          <w:sz w:val="24"/>
          <w:szCs w:val="24"/>
          <w:shd w:val="clear" w:color="auto" w:fill="FFFFFF"/>
        </w:rPr>
        <w:br w:type="page"/>
      </w:r>
    </w:p>
    <w:p w:rsidR="00F50D26" w:rsidRPr="00650CC3" w:rsidRDefault="00F50D26" w:rsidP="00650CC3">
      <w:pPr>
        <w:pStyle w:val="ListParagraph"/>
        <w:numPr>
          <w:ilvl w:val="0"/>
          <w:numId w:val="1"/>
        </w:numPr>
        <w:spacing w:line="480" w:lineRule="auto"/>
        <w:rPr>
          <w:rFonts w:ascii="Times New Roman" w:hAnsi="Times New Roman" w:cs="Times New Roman"/>
          <w:b/>
          <w:sz w:val="24"/>
          <w:szCs w:val="24"/>
          <w:shd w:val="clear" w:color="auto" w:fill="FFFFFF"/>
        </w:rPr>
      </w:pPr>
      <w:r w:rsidRPr="00650CC3">
        <w:rPr>
          <w:rFonts w:ascii="Times New Roman" w:hAnsi="Times New Roman" w:cs="Times New Roman"/>
          <w:b/>
          <w:sz w:val="24"/>
          <w:szCs w:val="24"/>
          <w:shd w:val="clear" w:color="auto" w:fill="FFFFFF"/>
        </w:rPr>
        <w:lastRenderedPageBreak/>
        <w:t xml:space="preserve">Describe the historical roots of the temperance movement in the Nineteenth Century, how it started, how it was connected to other movements, and how it evolved as a grassroots movement. </w:t>
      </w:r>
    </w:p>
    <w:p w:rsidR="00D97300" w:rsidRPr="00650CC3" w:rsidRDefault="00D97300" w:rsidP="00650CC3">
      <w:pPr>
        <w:spacing w:line="480" w:lineRule="auto"/>
        <w:ind w:firstLine="720"/>
        <w:rPr>
          <w:rFonts w:ascii="Times New Roman" w:hAnsi="Times New Roman" w:cs="Times New Roman"/>
          <w:sz w:val="24"/>
          <w:szCs w:val="24"/>
          <w:shd w:val="clear" w:color="auto" w:fill="FFFFFF"/>
        </w:rPr>
      </w:pPr>
      <w:r w:rsidRPr="00650CC3">
        <w:rPr>
          <w:rFonts w:ascii="Times New Roman" w:hAnsi="Times New Roman" w:cs="Times New Roman"/>
          <w:sz w:val="24"/>
          <w:szCs w:val="24"/>
          <w:shd w:val="clear" w:color="auto" w:fill="FFFFFF"/>
        </w:rPr>
        <w:t xml:space="preserve">The aim of the </w:t>
      </w:r>
      <w:r w:rsidR="00356FC6" w:rsidRPr="00650CC3">
        <w:rPr>
          <w:rFonts w:ascii="Times New Roman" w:hAnsi="Times New Roman" w:cs="Times New Roman"/>
          <w:sz w:val="24"/>
          <w:szCs w:val="24"/>
          <w:shd w:val="clear" w:color="auto" w:fill="FFFFFF"/>
        </w:rPr>
        <w:t xml:space="preserve">temperance </w:t>
      </w:r>
      <w:r w:rsidRPr="00650CC3">
        <w:rPr>
          <w:rFonts w:ascii="Times New Roman" w:hAnsi="Times New Roman" w:cs="Times New Roman"/>
          <w:sz w:val="24"/>
          <w:szCs w:val="24"/>
          <w:shd w:val="clear" w:color="auto" w:fill="FFFFFF"/>
        </w:rPr>
        <w:t>movement was to encourage moderation in the consumption of alcohol, or to push for legislation that demanded for absolute abstinence. The main composition of those supporting were women</w:t>
      </w:r>
      <w:r w:rsidR="00931116" w:rsidRPr="00650CC3">
        <w:rPr>
          <w:rFonts w:ascii="Times New Roman" w:hAnsi="Times New Roman" w:cs="Times New Roman"/>
          <w:sz w:val="24"/>
          <w:szCs w:val="24"/>
          <w:shd w:val="clear" w:color="auto" w:fill="FFFFFF"/>
        </w:rPr>
        <w:t xml:space="preserve"> </w:t>
      </w:r>
      <w:sdt>
        <w:sdtPr>
          <w:rPr>
            <w:rFonts w:ascii="Times New Roman" w:hAnsi="Times New Roman" w:cs="Times New Roman"/>
            <w:sz w:val="24"/>
            <w:szCs w:val="24"/>
            <w:shd w:val="clear" w:color="auto" w:fill="FFFFFF"/>
          </w:rPr>
          <w:id w:val="510659350"/>
          <w:citation/>
        </w:sdtPr>
        <w:sdtContent>
          <w:r w:rsidR="00931116" w:rsidRPr="00650CC3">
            <w:rPr>
              <w:rFonts w:ascii="Times New Roman" w:hAnsi="Times New Roman" w:cs="Times New Roman"/>
              <w:sz w:val="24"/>
              <w:szCs w:val="24"/>
              <w:shd w:val="clear" w:color="auto" w:fill="FFFFFF"/>
            </w:rPr>
            <w:fldChar w:fldCharType="begin"/>
          </w:r>
          <w:r w:rsidR="00931116" w:rsidRPr="00650CC3">
            <w:rPr>
              <w:rFonts w:ascii="Times New Roman" w:hAnsi="Times New Roman" w:cs="Times New Roman"/>
              <w:sz w:val="24"/>
              <w:szCs w:val="24"/>
              <w:shd w:val="clear" w:color="auto" w:fill="FFFFFF"/>
            </w:rPr>
            <w:instrText xml:space="preserve"> CITATION DPL19 \l 1033 </w:instrText>
          </w:r>
          <w:r w:rsidR="00931116" w:rsidRPr="00650CC3">
            <w:rPr>
              <w:rFonts w:ascii="Times New Roman" w:hAnsi="Times New Roman" w:cs="Times New Roman"/>
              <w:sz w:val="24"/>
              <w:szCs w:val="24"/>
              <w:shd w:val="clear" w:color="auto" w:fill="FFFFFF"/>
            </w:rPr>
            <w:fldChar w:fldCharType="separate"/>
          </w:r>
          <w:r w:rsidR="00931116" w:rsidRPr="00650CC3">
            <w:rPr>
              <w:rFonts w:ascii="Times New Roman" w:hAnsi="Times New Roman" w:cs="Times New Roman"/>
              <w:noProof/>
              <w:sz w:val="24"/>
              <w:szCs w:val="24"/>
              <w:shd w:val="clear" w:color="auto" w:fill="FFFFFF"/>
            </w:rPr>
            <w:t>(DPLA)</w:t>
          </w:r>
          <w:r w:rsidR="00931116" w:rsidRPr="00650CC3">
            <w:rPr>
              <w:rFonts w:ascii="Times New Roman" w:hAnsi="Times New Roman" w:cs="Times New Roman"/>
              <w:sz w:val="24"/>
              <w:szCs w:val="24"/>
              <w:shd w:val="clear" w:color="auto" w:fill="FFFFFF"/>
            </w:rPr>
            <w:fldChar w:fldCharType="end"/>
          </w:r>
        </w:sdtContent>
      </w:sdt>
      <w:r w:rsidRPr="00650CC3">
        <w:rPr>
          <w:rFonts w:ascii="Times New Roman" w:hAnsi="Times New Roman" w:cs="Times New Roman"/>
          <w:sz w:val="24"/>
          <w:szCs w:val="24"/>
          <w:shd w:val="clear" w:color="auto" w:fill="FFFFFF"/>
        </w:rPr>
        <w:t>. In the beginning of the movement, moral suasion was the technique employed within their initiative. The proposers placed significant blame on the intoxicating liquors for the challenges fac</w:t>
      </w:r>
      <w:r w:rsidR="003434CF" w:rsidRPr="00650CC3">
        <w:rPr>
          <w:rFonts w:ascii="Times New Roman" w:hAnsi="Times New Roman" w:cs="Times New Roman"/>
          <w:sz w:val="24"/>
          <w:szCs w:val="24"/>
          <w:shd w:val="clear" w:color="auto" w:fill="FFFFFF"/>
        </w:rPr>
        <w:t>ed by the society, inclusive of</w:t>
      </w:r>
      <w:r w:rsidRPr="00650CC3">
        <w:rPr>
          <w:rFonts w:ascii="Times New Roman" w:hAnsi="Times New Roman" w:cs="Times New Roman"/>
          <w:sz w:val="24"/>
          <w:szCs w:val="24"/>
          <w:shd w:val="clear" w:color="auto" w:fill="FFFFFF"/>
        </w:rPr>
        <w:t xml:space="preserve">; crime, destitution, and severe health problems. </w:t>
      </w:r>
      <w:r w:rsidR="003434CF" w:rsidRPr="00650CC3">
        <w:rPr>
          <w:rFonts w:ascii="Times New Roman" w:hAnsi="Times New Roman" w:cs="Times New Roman"/>
          <w:sz w:val="24"/>
          <w:szCs w:val="24"/>
          <w:shd w:val="clear" w:color="auto" w:fill="FFFFFF"/>
        </w:rPr>
        <w:t xml:space="preserve">During the conception of the movement, John Bartholomew Gough was a prominent preacher promulgating in proposition in the 1800s. </w:t>
      </w:r>
    </w:p>
    <w:p w:rsidR="00B62C60" w:rsidRPr="00650CC3" w:rsidRDefault="003434CF" w:rsidP="00650CC3">
      <w:pPr>
        <w:spacing w:line="480" w:lineRule="auto"/>
        <w:ind w:firstLine="720"/>
        <w:rPr>
          <w:rFonts w:ascii="Times New Roman" w:hAnsi="Times New Roman" w:cs="Times New Roman"/>
          <w:sz w:val="24"/>
          <w:szCs w:val="24"/>
          <w:shd w:val="clear" w:color="auto" w:fill="FFFFFF"/>
        </w:rPr>
      </w:pPr>
      <w:r w:rsidRPr="00650CC3">
        <w:rPr>
          <w:rFonts w:ascii="Times New Roman" w:hAnsi="Times New Roman" w:cs="Times New Roman"/>
          <w:sz w:val="24"/>
          <w:szCs w:val="24"/>
          <w:shd w:val="clear" w:color="auto" w:fill="FFFFFF"/>
        </w:rPr>
        <w:t xml:space="preserve">The years 1808 and 1813 witnessed the establishment of temperance associations in New York and Massachusetts respectively. The next establishment encompassed notion from dominations; the American Society for the Promotion of Temperance in 1826. The influence of the pulpit in the movement led to about 6,000 local groups in support of temperance by the 1830s in several states. </w:t>
      </w:r>
      <w:r w:rsidR="007439AE" w:rsidRPr="00650CC3">
        <w:rPr>
          <w:rFonts w:ascii="Times New Roman" w:hAnsi="Times New Roman" w:cs="Times New Roman"/>
          <w:sz w:val="24"/>
          <w:szCs w:val="24"/>
          <w:shd w:val="clear" w:color="auto" w:fill="FFFFFF"/>
        </w:rPr>
        <w:t xml:space="preserve">The movement also made use of advocates out of the influence within, one such advocate was Carry Nation. Besides their activities in politics and morality, other notable </w:t>
      </w:r>
      <w:r w:rsidR="00C15644" w:rsidRPr="00650CC3">
        <w:rPr>
          <w:rFonts w:ascii="Times New Roman" w:hAnsi="Times New Roman" w:cs="Times New Roman"/>
          <w:sz w:val="24"/>
          <w:szCs w:val="24"/>
          <w:shd w:val="clear" w:color="auto" w:fill="FFFFFF"/>
        </w:rPr>
        <w:t>traits of modern temperance movements were</w:t>
      </w:r>
      <w:r w:rsidR="007439AE" w:rsidRPr="00650CC3">
        <w:rPr>
          <w:rFonts w:ascii="Times New Roman" w:hAnsi="Times New Roman" w:cs="Times New Roman"/>
          <w:sz w:val="24"/>
          <w:szCs w:val="24"/>
          <w:shd w:val="clear" w:color="auto" w:fill="FFFFFF"/>
        </w:rPr>
        <w:t xml:space="preserve"> organized cooperation from women and an international scope for their initiatives. </w:t>
      </w:r>
    </w:p>
    <w:p w:rsidR="003434CF" w:rsidRPr="00650CC3" w:rsidRDefault="00C15644" w:rsidP="00650CC3">
      <w:pPr>
        <w:spacing w:line="480" w:lineRule="auto"/>
        <w:ind w:firstLine="720"/>
        <w:rPr>
          <w:rFonts w:ascii="Times New Roman" w:hAnsi="Times New Roman" w:cs="Times New Roman"/>
          <w:sz w:val="24"/>
          <w:szCs w:val="24"/>
          <w:shd w:val="clear" w:color="auto" w:fill="FFFFFF"/>
        </w:rPr>
      </w:pPr>
      <w:r w:rsidRPr="00650CC3">
        <w:rPr>
          <w:rFonts w:ascii="Times New Roman" w:hAnsi="Times New Roman" w:cs="Times New Roman"/>
          <w:sz w:val="24"/>
          <w:szCs w:val="24"/>
          <w:shd w:val="clear" w:color="auto" w:fill="FFFFFF"/>
        </w:rPr>
        <w:t>Utica New York became the base of formation for the Order of Good Templars</w:t>
      </w:r>
      <w:r w:rsidR="00B579D6" w:rsidRPr="00650CC3">
        <w:rPr>
          <w:rFonts w:ascii="Times New Roman" w:hAnsi="Times New Roman" w:cs="Times New Roman"/>
          <w:sz w:val="24"/>
          <w:szCs w:val="24"/>
          <w:shd w:val="clear" w:color="auto" w:fill="FFFFFF"/>
        </w:rPr>
        <w:t>, which was the only international organization supporting the movement at the time</w:t>
      </w:r>
      <w:r w:rsidRPr="00650CC3">
        <w:rPr>
          <w:rFonts w:ascii="Times New Roman" w:hAnsi="Times New Roman" w:cs="Times New Roman"/>
          <w:sz w:val="24"/>
          <w:szCs w:val="24"/>
          <w:shd w:val="clear" w:color="auto" w:fill="FFFFFF"/>
        </w:rPr>
        <w:t xml:space="preserve">. The national Woman’s Christian Temperance Union became an international organization with its influence deeply rooted in educational, social and political elements of promoting legislation. Maine </w:t>
      </w:r>
      <w:r w:rsidRPr="00650CC3">
        <w:rPr>
          <w:rFonts w:ascii="Times New Roman" w:hAnsi="Times New Roman" w:cs="Times New Roman"/>
          <w:sz w:val="24"/>
          <w:szCs w:val="24"/>
          <w:shd w:val="clear" w:color="auto" w:fill="FFFFFF"/>
        </w:rPr>
        <w:lastRenderedPageBreak/>
        <w:t>recorded the first success of the movement to span statewide in the U.S. with a law passing on 2</w:t>
      </w:r>
      <w:r w:rsidRPr="00650CC3">
        <w:rPr>
          <w:rFonts w:ascii="Times New Roman" w:hAnsi="Times New Roman" w:cs="Times New Roman"/>
          <w:sz w:val="24"/>
          <w:szCs w:val="24"/>
          <w:shd w:val="clear" w:color="auto" w:fill="FFFFFF"/>
          <w:vertAlign w:val="superscript"/>
        </w:rPr>
        <w:t>nd</w:t>
      </w:r>
      <w:r w:rsidRPr="00650CC3">
        <w:rPr>
          <w:rFonts w:ascii="Times New Roman" w:hAnsi="Times New Roman" w:cs="Times New Roman"/>
          <w:sz w:val="24"/>
          <w:szCs w:val="24"/>
          <w:shd w:val="clear" w:color="auto" w:fill="FFFFFF"/>
        </w:rPr>
        <w:t xml:space="preserve"> June 1851. The formation of the Anti-Saloon League in 1895 found the movement changing the direction of the steam from control to legislation to enforce absolute prohibition of sale, distribution and manufacture of alcohol. The backing of churches and industrialist suffering from constant absenteeism and poor productivity led to success in passing many liquor laws throughout the nation. </w:t>
      </w:r>
    </w:p>
    <w:p w:rsidR="00F50D26" w:rsidRPr="00650CC3" w:rsidRDefault="00F50D26" w:rsidP="00650CC3">
      <w:pPr>
        <w:pStyle w:val="ListParagraph"/>
        <w:numPr>
          <w:ilvl w:val="0"/>
          <w:numId w:val="1"/>
        </w:numPr>
        <w:spacing w:line="480" w:lineRule="auto"/>
        <w:rPr>
          <w:rFonts w:ascii="Times New Roman" w:hAnsi="Times New Roman" w:cs="Times New Roman"/>
          <w:b/>
          <w:sz w:val="24"/>
          <w:szCs w:val="24"/>
          <w:shd w:val="clear" w:color="auto" w:fill="FFFFFF"/>
        </w:rPr>
      </w:pPr>
      <w:r w:rsidRPr="00650CC3">
        <w:rPr>
          <w:rFonts w:ascii="Times New Roman" w:hAnsi="Times New Roman" w:cs="Times New Roman"/>
          <w:b/>
          <w:sz w:val="24"/>
          <w:szCs w:val="24"/>
          <w:shd w:val="clear" w:color="auto" w:fill="FFFFFF"/>
        </w:rPr>
        <w:t xml:space="preserve">Discuss the transition from a predominantly amateur female movement toward a more professional male dominated political movement and how this transition affected it. </w:t>
      </w:r>
    </w:p>
    <w:p w:rsidR="003434CF" w:rsidRPr="00650CC3" w:rsidRDefault="007B3C6E" w:rsidP="00650CC3">
      <w:pPr>
        <w:spacing w:line="480" w:lineRule="auto"/>
        <w:ind w:firstLine="720"/>
        <w:rPr>
          <w:rFonts w:ascii="Times New Roman" w:hAnsi="Times New Roman" w:cs="Times New Roman"/>
          <w:sz w:val="24"/>
          <w:szCs w:val="24"/>
          <w:shd w:val="clear" w:color="auto" w:fill="FFFFFF"/>
        </w:rPr>
      </w:pPr>
      <w:r w:rsidRPr="00650CC3">
        <w:rPr>
          <w:rFonts w:ascii="Times New Roman" w:hAnsi="Times New Roman" w:cs="Times New Roman"/>
          <w:sz w:val="24"/>
          <w:szCs w:val="24"/>
          <w:shd w:val="clear" w:color="auto" w:fill="FFFFFF"/>
        </w:rPr>
        <w:t xml:space="preserve">The temperance movement was powered by women, rooted in the protestant churches. The involvement of women is probably due to the abuse they and their children had to endure from drunken men. </w:t>
      </w:r>
      <w:r w:rsidR="00B579D6" w:rsidRPr="00650CC3">
        <w:rPr>
          <w:rFonts w:ascii="Times New Roman" w:hAnsi="Times New Roman" w:cs="Times New Roman"/>
          <w:sz w:val="24"/>
          <w:szCs w:val="24"/>
          <w:shd w:val="clear" w:color="auto" w:fill="FFFFFF"/>
        </w:rPr>
        <w:t xml:space="preserve">The movement was highly defined as the ‘Woman’s Crusade’ in the U.S., most notably after 1874 when the Woman’s Christian Temperance Union was formed. </w:t>
      </w:r>
      <w:r w:rsidRPr="00650CC3">
        <w:rPr>
          <w:rFonts w:ascii="Times New Roman" w:hAnsi="Times New Roman" w:cs="Times New Roman"/>
          <w:sz w:val="24"/>
          <w:szCs w:val="24"/>
          <w:shd w:val="clear" w:color="auto" w:fill="FFFFFF"/>
        </w:rPr>
        <w:t>The demonstrations were peaceful including prayer demonstrations at businesses serving alcohol</w:t>
      </w:r>
      <w:r w:rsidR="00CC4E34" w:rsidRPr="00650CC3">
        <w:rPr>
          <w:rFonts w:ascii="Times New Roman" w:hAnsi="Times New Roman" w:cs="Times New Roman"/>
          <w:sz w:val="24"/>
          <w:szCs w:val="24"/>
          <w:shd w:val="clear" w:color="auto" w:fill="FFFFFF"/>
        </w:rPr>
        <w:t>. Their movement propagated the notion that urban saloons acted as hosts to a variety of moral ills associated with drunkenness, inclusive of corruption, profanity, prostitution, adultery, and gambling. Their actions reflected on the morals and behaviors expected from women in the era</w:t>
      </w:r>
      <w:r w:rsidR="007470B2" w:rsidRPr="00650CC3">
        <w:rPr>
          <w:rFonts w:ascii="Times New Roman" w:hAnsi="Times New Roman" w:cs="Times New Roman"/>
          <w:sz w:val="24"/>
          <w:szCs w:val="24"/>
          <w:shd w:val="clear" w:color="auto" w:fill="FFFFFF"/>
        </w:rPr>
        <w:t>, and the moral and religious element of the movement paired diligently with the feminine roles</w:t>
      </w:r>
      <w:r w:rsidR="00CC4E34" w:rsidRPr="00650CC3">
        <w:rPr>
          <w:rFonts w:ascii="Times New Roman" w:hAnsi="Times New Roman" w:cs="Times New Roman"/>
          <w:sz w:val="24"/>
          <w:szCs w:val="24"/>
          <w:shd w:val="clear" w:color="auto" w:fill="FFFFFF"/>
        </w:rPr>
        <w:t xml:space="preserve">. As of 1831, the women organizations with efforts and initiatives geared in favor of temperance were 24. </w:t>
      </w:r>
    </w:p>
    <w:p w:rsidR="00CC4E34" w:rsidRPr="00650CC3" w:rsidRDefault="007470B2" w:rsidP="00650CC3">
      <w:pPr>
        <w:spacing w:line="480" w:lineRule="auto"/>
        <w:ind w:firstLine="720"/>
        <w:rPr>
          <w:rFonts w:ascii="Times New Roman" w:hAnsi="Times New Roman" w:cs="Times New Roman"/>
          <w:sz w:val="24"/>
          <w:szCs w:val="24"/>
          <w:shd w:val="clear" w:color="auto" w:fill="FFFFFF"/>
        </w:rPr>
      </w:pPr>
      <w:r w:rsidRPr="00650CC3">
        <w:rPr>
          <w:rFonts w:ascii="Times New Roman" w:hAnsi="Times New Roman" w:cs="Times New Roman"/>
          <w:sz w:val="24"/>
          <w:szCs w:val="24"/>
          <w:shd w:val="clear" w:color="auto" w:fill="FFFFFF"/>
        </w:rPr>
        <w:t xml:space="preserve">With the onset of the Civil War, the efforts against alcohol dimmed down with the nation in need of the taxes from liquor. The initiatives of the temperance movements expanded to include health of soldiers and abolition. Temperance later gained tract in the 1870s after </w:t>
      </w:r>
      <w:r w:rsidRPr="00650CC3">
        <w:rPr>
          <w:rFonts w:ascii="Times New Roman" w:hAnsi="Times New Roman" w:cs="Times New Roman"/>
          <w:sz w:val="24"/>
          <w:szCs w:val="24"/>
          <w:shd w:val="clear" w:color="auto" w:fill="FFFFFF"/>
        </w:rPr>
        <w:lastRenderedPageBreak/>
        <w:t xml:space="preserve">normalcy resumed in life. </w:t>
      </w:r>
      <w:r w:rsidR="00CC4E34" w:rsidRPr="00650CC3">
        <w:rPr>
          <w:rFonts w:ascii="Times New Roman" w:hAnsi="Times New Roman" w:cs="Times New Roman"/>
          <w:sz w:val="24"/>
          <w:szCs w:val="24"/>
          <w:shd w:val="clear" w:color="auto" w:fill="FFFFFF"/>
        </w:rPr>
        <w:t>However, the movement shifted tactics. The movement now had advocates, with radical actions of raiding saloons and smashing of the liquor bottles. Carrie A. Nation was one such independent advocate, and her actions gained notoriety and support</w:t>
      </w:r>
      <w:r w:rsidR="00931116" w:rsidRPr="00650CC3">
        <w:rPr>
          <w:rFonts w:ascii="Times New Roman" w:hAnsi="Times New Roman" w:cs="Times New Roman"/>
          <w:sz w:val="24"/>
          <w:szCs w:val="24"/>
          <w:shd w:val="clear" w:color="auto" w:fill="FFFFFF"/>
        </w:rPr>
        <w:t xml:space="preserve"> </w:t>
      </w:r>
      <w:sdt>
        <w:sdtPr>
          <w:rPr>
            <w:rFonts w:ascii="Times New Roman" w:hAnsi="Times New Roman" w:cs="Times New Roman"/>
            <w:sz w:val="24"/>
            <w:szCs w:val="24"/>
            <w:shd w:val="clear" w:color="auto" w:fill="FFFFFF"/>
          </w:rPr>
          <w:id w:val="510659349"/>
          <w:citation/>
        </w:sdtPr>
        <w:sdtContent>
          <w:r w:rsidR="00931116" w:rsidRPr="00650CC3">
            <w:rPr>
              <w:rFonts w:ascii="Times New Roman" w:hAnsi="Times New Roman" w:cs="Times New Roman"/>
              <w:sz w:val="24"/>
              <w:szCs w:val="24"/>
              <w:shd w:val="clear" w:color="auto" w:fill="FFFFFF"/>
            </w:rPr>
            <w:fldChar w:fldCharType="begin"/>
          </w:r>
          <w:r w:rsidR="00931116" w:rsidRPr="00650CC3">
            <w:rPr>
              <w:rFonts w:ascii="Times New Roman" w:hAnsi="Times New Roman" w:cs="Times New Roman"/>
              <w:sz w:val="24"/>
              <w:szCs w:val="24"/>
              <w:shd w:val="clear" w:color="auto" w:fill="FFFFFF"/>
            </w:rPr>
            <w:instrText xml:space="preserve"> CITATION The192 \l 1033 </w:instrText>
          </w:r>
          <w:r w:rsidR="00931116" w:rsidRPr="00650CC3">
            <w:rPr>
              <w:rFonts w:ascii="Times New Roman" w:hAnsi="Times New Roman" w:cs="Times New Roman"/>
              <w:sz w:val="24"/>
              <w:szCs w:val="24"/>
              <w:shd w:val="clear" w:color="auto" w:fill="FFFFFF"/>
            </w:rPr>
            <w:fldChar w:fldCharType="separate"/>
          </w:r>
          <w:r w:rsidR="00931116" w:rsidRPr="00650CC3">
            <w:rPr>
              <w:rFonts w:ascii="Times New Roman" w:hAnsi="Times New Roman" w:cs="Times New Roman"/>
              <w:noProof/>
              <w:sz w:val="24"/>
              <w:szCs w:val="24"/>
              <w:shd w:val="clear" w:color="auto" w:fill="FFFFFF"/>
            </w:rPr>
            <w:t>(The Mob Museum)</w:t>
          </w:r>
          <w:r w:rsidR="00931116" w:rsidRPr="00650CC3">
            <w:rPr>
              <w:rFonts w:ascii="Times New Roman" w:hAnsi="Times New Roman" w:cs="Times New Roman"/>
              <w:sz w:val="24"/>
              <w:szCs w:val="24"/>
              <w:shd w:val="clear" w:color="auto" w:fill="FFFFFF"/>
            </w:rPr>
            <w:fldChar w:fldCharType="end"/>
          </w:r>
        </w:sdtContent>
      </w:sdt>
      <w:r w:rsidR="00CC4E34" w:rsidRPr="00650CC3">
        <w:rPr>
          <w:rFonts w:ascii="Times New Roman" w:hAnsi="Times New Roman" w:cs="Times New Roman"/>
          <w:sz w:val="24"/>
          <w:szCs w:val="24"/>
          <w:shd w:val="clear" w:color="auto" w:fill="FFFFFF"/>
        </w:rPr>
        <w:t xml:space="preserve">. The influence of men gained more prominence with change of goals to prohibition rather than moderation of alcohol, and implementation of political tactics. </w:t>
      </w:r>
      <w:r w:rsidRPr="00650CC3">
        <w:rPr>
          <w:rFonts w:ascii="Times New Roman" w:hAnsi="Times New Roman" w:cs="Times New Roman"/>
          <w:sz w:val="24"/>
          <w:szCs w:val="24"/>
          <w:shd w:val="clear" w:color="auto" w:fill="FFFFFF"/>
        </w:rPr>
        <w:t xml:space="preserve">The push for state and political legislations pushed women out of the movement, since they were, at the time, not permitted to vote. </w:t>
      </w:r>
    </w:p>
    <w:p w:rsidR="00F50D26" w:rsidRPr="00650CC3" w:rsidRDefault="00F50D26" w:rsidP="00650CC3">
      <w:pPr>
        <w:pStyle w:val="ListParagraph"/>
        <w:numPr>
          <w:ilvl w:val="0"/>
          <w:numId w:val="1"/>
        </w:numPr>
        <w:spacing w:line="480" w:lineRule="auto"/>
        <w:rPr>
          <w:rFonts w:ascii="Times New Roman" w:hAnsi="Times New Roman" w:cs="Times New Roman"/>
          <w:b/>
          <w:sz w:val="24"/>
          <w:szCs w:val="24"/>
          <w:shd w:val="clear" w:color="auto" w:fill="FFFFFF"/>
        </w:rPr>
      </w:pPr>
      <w:r w:rsidRPr="00650CC3">
        <w:rPr>
          <w:rFonts w:ascii="Times New Roman" w:hAnsi="Times New Roman" w:cs="Times New Roman"/>
          <w:b/>
          <w:sz w:val="24"/>
          <w:szCs w:val="24"/>
          <w:shd w:val="clear" w:color="auto" w:fill="FFFFFF"/>
        </w:rPr>
        <w:t xml:space="preserve">How was taxation, women's suffrage, race, immigration policy, and urban versus rural conflict, related to and played out in the prohibition issue? Was it, and if so why was it necessary to employ the political strategy taken? </w:t>
      </w:r>
    </w:p>
    <w:p w:rsidR="003434CF" w:rsidRPr="00650CC3" w:rsidRDefault="00493DB8" w:rsidP="00650CC3">
      <w:pPr>
        <w:spacing w:line="480" w:lineRule="auto"/>
        <w:ind w:firstLine="360"/>
        <w:rPr>
          <w:rFonts w:ascii="Times New Roman" w:hAnsi="Times New Roman" w:cs="Times New Roman"/>
          <w:sz w:val="24"/>
          <w:szCs w:val="24"/>
          <w:shd w:val="clear" w:color="auto" w:fill="FFFFFF"/>
        </w:rPr>
      </w:pPr>
      <w:r w:rsidRPr="00650CC3">
        <w:rPr>
          <w:rFonts w:ascii="Times New Roman" w:hAnsi="Times New Roman" w:cs="Times New Roman"/>
          <w:sz w:val="24"/>
          <w:szCs w:val="24"/>
          <w:shd w:val="clear" w:color="auto" w:fill="FFFFFF"/>
        </w:rPr>
        <w:t>During the Civil War, the federal government depended largely on the tax generated from the levy on whiskey and beer to fund the war. It was an approximation of 30-40% of the amount of revenue collected from the tax</w:t>
      </w:r>
      <w:r w:rsidR="00356FC6" w:rsidRPr="00650CC3">
        <w:rPr>
          <w:rFonts w:ascii="Times New Roman" w:hAnsi="Times New Roman" w:cs="Times New Roman"/>
          <w:sz w:val="24"/>
          <w:szCs w:val="24"/>
          <w:shd w:val="clear" w:color="auto" w:fill="FFFFFF"/>
        </w:rPr>
        <w:t xml:space="preserve"> </w:t>
      </w:r>
      <w:sdt>
        <w:sdtPr>
          <w:rPr>
            <w:rFonts w:ascii="Times New Roman" w:hAnsi="Times New Roman" w:cs="Times New Roman"/>
            <w:sz w:val="24"/>
            <w:szCs w:val="24"/>
            <w:shd w:val="clear" w:color="auto" w:fill="FFFFFF"/>
          </w:rPr>
          <w:id w:val="510659344"/>
          <w:citation/>
        </w:sdtPr>
        <w:sdtContent>
          <w:r w:rsidR="00356FC6" w:rsidRPr="00650CC3">
            <w:rPr>
              <w:rFonts w:ascii="Times New Roman" w:hAnsi="Times New Roman" w:cs="Times New Roman"/>
              <w:sz w:val="24"/>
              <w:szCs w:val="24"/>
              <w:shd w:val="clear" w:color="auto" w:fill="FFFFFF"/>
            </w:rPr>
            <w:fldChar w:fldCharType="begin"/>
          </w:r>
          <w:r w:rsidR="00356FC6" w:rsidRPr="00650CC3">
            <w:rPr>
              <w:rFonts w:ascii="Times New Roman" w:hAnsi="Times New Roman" w:cs="Times New Roman"/>
              <w:sz w:val="24"/>
              <w:szCs w:val="24"/>
              <w:shd w:val="clear" w:color="auto" w:fill="FFFFFF"/>
            </w:rPr>
            <w:instrText xml:space="preserve"> CITATION Bis11 \l 1033 </w:instrText>
          </w:r>
          <w:r w:rsidR="00356FC6" w:rsidRPr="00650CC3">
            <w:rPr>
              <w:rFonts w:ascii="Times New Roman" w:hAnsi="Times New Roman" w:cs="Times New Roman"/>
              <w:sz w:val="24"/>
              <w:szCs w:val="24"/>
              <w:shd w:val="clear" w:color="auto" w:fill="FFFFFF"/>
            </w:rPr>
            <w:fldChar w:fldCharType="separate"/>
          </w:r>
          <w:r w:rsidR="00356FC6" w:rsidRPr="00650CC3">
            <w:rPr>
              <w:rFonts w:ascii="Times New Roman" w:hAnsi="Times New Roman" w:cs="Times New Roman"/>
              <w:noProof/>
              <w:sz w:val="24"/>
              <w:szCs w:val="24"/>
              <w:shd w:val="clear" w:color="auto" w:fill="FFFFFF"/>
            </w:rPr>
            <w:t>(Bishop-Henchman, 2011)</w:t>
          </w:r>
          <w:r w:rsidR="00356FC6" w:rsidRPr="00650CC3">
            <w:rPr>
              <w:rFonts w:ascii="Times New Roman" w:hAnsi="Times New Roman" w:cs="Times New Roman"/>
              <w:sz w:val="24"/>
              <w:szCs w:val="24"/>
              <w:shd w:val="clear" w:color="auto" w:fill="FFFFFF"/>
            </w:rPr>
            <w:fldChar w:fldCharType="end"/>
          </w:r>
        </w:sdtContent>
      </w:sdt>
      <w:r w:rsidRPr="00650CC3">
        <w:rPr>
          <w:rFonts w:ascii="Times New Roman" w:hAnsi="Times New Roman" w:cs="Times New Roman"/>
          <w:sz w:val="24"/>
          <w:szCs w:val="24"/>
          <w:shd w:val="clear" w:color="auto" w:fill="FFFFFF"/>
        </w:rPr>
        <w:t xml:space="preserve">. The necessity of the tax halted the temperance movement in its tracks. However, after the war drinking became an issue again after </w:t>
      </w:r>
      <w:r w:rsidR="00356FC6" w:rsidRPr="00650CC3">
        <w:rPr>
          <w:rFonts w:ascii="Times New Roman" w:hAnsi="Times New Roman" w:cs="Times New Roman"/>
          <w:sz w:val="24"/>
          <w:szCs w:val="24"/>
          <w:shd w:val="clear" w:color="auto" w:fill="FFFFFF"/>
        </w:rPr>
        <w:t xml:space="preserve">a significant boom in the industry. The movement rekindled its efforts with creation of major associations employing business and political tactics. The political aspects of absolute prohibition of alcohol use the forum of income tax to further the agenda of the movement. </w:t>
      </w:r>
    </w:p>
    <w:p w:rsidR="00356FC6" w:rsidRPr="00650CC3" w:rsidRDefault="009C7995" w:rsidP="00650CC3">
      <w:pPr>
        <w:spacing w:line="480" w:lineRule="auto"/>
        <w:ind w:firstLine="360"/>
        <w:rPr>
          <w:rFonts w:ascii="Times New Roman" w:hAnsi="Times New Roman" w:cs="Times New Roman"/>
          <w:sz w:val="24"/>
          <w:szCs w:val="24"/>
          <w:shd w:val="clear" w:color="auto" w:fill="FFFFFF"/>
        </w:rPr>
      </w:pPr>
      <w:r w:rsidRPr="00650CC3">
        <w:rPr>
          <w:rFonts w:ascii="Times New Roman" w:hAnsi="Times New Roman" w:cs="Times New Roman"/>
          <w:sz w:val="24"/>
          <w:szCs w:val="24"/>
          <w:shd w:val="clear" w:color="auto" w:fill="FFFFFF"/>
        </w:rPr>
        <w:t>African-American pastors also attempted to change the perception of the ‘Negro Race’ on temperance. Their efforts intended to prohibit women and children from visiting barrooms and its premises. Though their efforts are in line with the temperance movement, the churches of the African-Americans were very reluctant to whole-heartedly embody the initiative</w:t>
      </w:r>
      <w:r w:rsidR="009D7A3B" w:rsidRPr="00650CC3">
        <w:rPr>
          <w:rFonts w:ascii="Times New Roman" w:hAnsi="Times New Roman" w:cs="Times New Roman"/>
          <w:sz w:val="24"/>
          <w:szCs w:val="24"/>
          <w:shd w:val="clear" w:color="auto" w:fill="FFFFFF"/>
        </w:rPr>
        <w:t xml:space="preserve"> </w:t>
      </w:r>
      <w:sdt>
        <w:sdtPr>
          <w:rPr>
            <w:rFonts w:ascii="Times New Roman" w:hAnsi="Times New Roman" w:cs="Times New Roman"/>
            <w:sz w:val="24"/>
            <w:szCs w:val="24"/>
            <w:shd w:val="clear" w:color="auto" w:fill="FFFFFF"/>
          </w:rPr>
          <w:id w:val="510659346"/>
          <w:citation/>
        </w:sdtPr>
        <w:sdtContent>
          <w:r w:rsidR="009D7A3B" w:rsidRPr="00650CC3">
            <w:rPr>
              <w:rFonts w:ascii="Times New Roman" w:hAnsi="Times New Roman" w:cs="Times New Roman"/>
              <w:sz w:val="24"/>
              <w:szCs w:val="24"/>
              <w:shd w:val="clear" w:color="auto" w:fill="FFFFFF"/>
            </w:rPr>
            <w:fldChar w:fldCharType="begin"/>
          </w:r>
          <w:r w:rsidR="009D7A3B" w:rsidRPr="00650CC3">
            <w:rPr>
              <w:rFonts w:ascii="Times New Roman" w:hAnsi="Times New Roman" w:cs="Times New Roman"/>
              <w:sz w:val="24"/>
              <w:szCs w:val="24"/>
              <w:shd w:val="clear" w:color="auto" w:fill="FFFFFF"/>
            </w:rPr>
            <w:instrText xml:space="preserve"> CITATION Yac88 \l 1033 </w:instrText>
          </w:r>
          <w:r w:rsidR="009D7A3B" w:rsidRPr="00650CC3">
            <w:rPr>
              <w:rFonts w:ascii="Times New Roman" w:hAnsi="Times New Roman" w:cs="Times New Roman"/>
              <w:sz w:val="24"/>
              <w:szCs w:val="24"/>
              <w:shd w:val="clear" w:color="auto" w:fill="FFFFFF"/>
            </w:rPr>
            <w:fldChar w:fldCharType="separate"/>
          </w:r>
          <w:r w:rsidR="009D7A3B" w:rsidRPr="00650CC3">
            <w:rPr>
              <w:rFonts w:ascii="Times New Roman" w:hAnsi="Times New Roman" w:cs="Times New Roman"/>
              <w:noProof/>
              <w:sz w:val="24"/>
              <w:szCs w:val="24"/>
              <w:shd w:val="clear" w:color="auto" w:fill="FFFFFF"/>
            </w:rPr>
            <w:t>(Yacovone, 1988)</w:t>
          </w:r>
          <w:r w:rsidR="009D7A3B" w:rsidRPr="00650CC3">
            <w:rPr>
              <w:rFonts w:ascii="Times New Roman" w:hAnsi="Times New Roman" w:cs="Times New Roman"/>
              <w:sz w:val="24"/>
              <w:szCs w:val="24"/>
              <w:shd w:val="clear" w:color="auto" w:fill="FFFFFF"/>
            </w:rPr>
            <w:fldChar w:fldCharType="end"/>
          </w:r>
        </w:sdtContent>
      </w:sdt>
      <w:r w:rsidRPr="00650CC3">
        <w:rPr>
          <w:rFonts w:ascii="Times New Roman" w:hAnsi="Times New Roman" w:cs="Times New Roman"/>
          <w:sz w:val="24"/>
          <w:szCs w:val="24"/>
          <w:shd w:val="clear" w:color="auto" w:fill="FFFFFF"/>
        </w:rPr>
        <w:t xml:space="preserve">. </w:t>
      </w:r>
      <w:r w:rsidR="009D7A3B" w:rsidRPr="00650CC3">
        <w:rPr>
          <w:rFonts w:ascii="Times New Roman" w:hAnsi="Times New Roman" w:cs="Times New Roman"/>
          <w:sz w:val="24"/>
          <w:szCs w:val="24"/>
          <w:shd w:val="clear" w:color="auto" w:fill="FFFFFF"/>
        </w:rPr>
        <w:t xml:space="preserve">Women’s suffrage also shaped the movement since the instigators were women who were </w:t>
      </w:r>
      <w:r w:rsidR="009D7A3B" w:rsidRPr="00650CC3">
        <w:rPr>
          <w:rFonts w:ascii="Times New Roman" w:hAnsi="Times New Roman" w:cs="Times New Roman"/>
          <w:sz w:val="24"/>
          <w:szCs w:val="24"/>
          <w:shd w:val="clear" w:color="auto" w:fill="FFFFFF"/>
        </w:rPr>
        <w:lastRenderedPageBreak/>
        <w:t xml:space="preserve">subjected to domestic violence. Biological determinism held the perception that women were superior in morals as compared to men, and thus numerous advocates used women and their struggles in the movement </w:t>
      </w:r>
      <w:sdt>
        <w:sdtPr>
          <w:rPr>
            <w:rFonts w:ascii="Times New Roman" w:hAnsi="Times New Roman" w:cs="Times New Roman"/>
            <w:sz w:val="24"/>
            <w:szCs w:val="24"/>
            <w:shd w:val="clear" w:color="auto" w:fill="FFFFFF"/>
          </w:rPr>
          <w:id w:val="510659345"/>
          <w:citation/>
        </w:sdtPr>
        <w:sdtContent>
          <w:r w:rsidR="009D7A3B" w:rsidRPr="00650CC3">
            <w:rPr>
              <w:rFonts w:ascii="Times New Roman" w:hAnsi="Times New Roman" w:cs="Times New Roman"/>
              <w:sz w:val="24"/>
              <w:szCs w:val="24"/>
              <w:shd w:val="clear" w:color="auto" w:fill="FFFFFF"/>
            </w:rPr>
            <w:fldChar w:fldCharType="begin"/>
          </w:r>
          <w:r w:rsidR="009D7A3B" w:rsidRPr="00650CC3">
            <w:rPr>
              <w:rFonts w:ascii="Times New Roman" w:hAnsi="Times New Roman" w:cs="Times New Roman"/>
              <w:sz w:val="24"/>
              <w:szCs w:val="24"/>
              <w:shd w:val="clear" w:color="auto" w:fill="FFFFFF"/>
            </w:rPr>
            <w:instrText xml:space="preserve"> CITATION Eng19 \l 1033 </w:instrText>
          </w:r>
          <w:r w:rsidR="009D7A3B" w:rsidRPr="00650CC3">
            <w:rPr>
              <w:rFonts w:ascii="Times New Roman" w:hAnsi="Times New Roman" w:cs="Times New Roman"/>
              <w:sz w:val="24"/>
              <w:szCs w:val="24"/>
              <w:shd w:val="clear" w:color="auto" w:fill="FFFFFF"/>
            </w:rPr>
            <w:fldChar w:fldCharType="separate"/>
          </w:r>
          <w:r w:rsidR="009D7A3B" w:rsidRPr="00650CC3">
            <w:rPr>
              <w:rFonts w:ascii="Times New Roman" w:hAnsi="Times New Roman" w:cs="Times New Roman"/>
              <w:noProof/>
              <w:sz w:val="24"/>
              <w:szCs w:val="24"/>
              <w:shd w:val="clear" w:color="auto" w:fill="FFFFFF"/>
            </w:rPr>
            <w:t>(Engel, 2019)</w:t>
          </w:r>
          <w:r w:rsidR="009D7A3B" w:rsidRPr="00650CC3">
            <w:rPr>
              <w:rFonts w:ascii="Times New Roman" w:hAnsi="Times New Roman" w:cs="Times New Roman"/>
              <w:sz w:val="24"/>
              <w:szCs w:val="24"/>
              <w:shd w:val="clear" w:color="auto" w:fill="FFFFFF"/>
            </w:rPr>
            <w:fldChar w:fldCharType="end"/>
          </w:r>
        </w:sdtContent>
      </w:sdt>
      <w:r w:rsidR="009D7A3B" w:rsidRPr="00650CC3">
        <w:rPr>
          <w:rFonts w:ascii="Times New Roman" w:hAnsi="Times New Roman" w:cs="Times New Roman"/>
          <w:sz w:val="24"/>
          <w:szCs w:val="24"/>
          <w:shd w:val="clear" w:color="auto" w:fill="FFFFFF"/>
        </w:rPr>
        <w:t xml:space="preserve">. Organizations like WCTU provided a religious and anonymous ground for women to launch their initiatives against the two causes. </w:t>
      </w:r>
    </w:p>
    <w:p w:rsidR="00CD25AA" w:rsidRPr="00650CC3" w:rsidRDefault="005040B6" w:rsidP="00650CC3">
      <w:pPr>
        <w:spacing w:line="480" w:lineRule="auto"/>
        <w:ind w:firstLine="360"/>
        <w:rPr>
          <w:rFonts w:ascii="Times New Roman" w:hAnsi="Times New Roman" w:cs="Times New Roman"/>
          <w:sz w:val="24"/>
          <w:szCs w:val="24"/>
          <w:shd w:val="clear" w:color="auto" w:fill="FFFFFF"/>
        </w:rPr>
      </w:pPr>
      <w:r w:rsidRPr="00650CC3">
        <w:rPr>
          <w:rFonts w:ascii="Times New Roman" w:hAnsi="Times New Roman" w:cs="Times New Roman"/>
          <w:sz w:val="24"/>
          <w:szCs w:val="24"/>
          <w:shd w:val="clear" w:color="auto" w:fill="FFFFFF"/>
        </w:rPr>
        <w:t xml:space="preserve">The temperance movement caught on in the rural societies, but its impact on urban was slightly minimal. With growing rural to urban migration, and urbanization leading to cheap alcohol, the movement influenced the urban developments. The migrations also increased the bulk of the working force for the commercial and industrial sector. However, industrialization came to hold virtues of steadiness, discipline, routine, discipline, and society, all of which contrasted with </w:t>
      </w:r>
      <w:r w:rsidR="00931116" w:rsidRPr="00650CC3">
        <w:rPr>
          <w:rFonts w:ascii="Times New Roman" w:hAnsi="Times New Roman" w:cs="Times New Roman"/>
          <w:sz w:val="24"/>
          <w:szCs w:val="24"/>
          <w:shd w:val="clear" w:color="auto" w:fill="FFFFFF"/>
        </w:rPr>
        <w:t xml:space="preserve">erratic habits demonstrated by intoxicated workforce. The employers thus favored the movement in the creation of a more humane and moral community </w:t>
      </w:r>
      <w:sdt>
        <w:sdtPr>
          <w:rPr>
            <w:rFonts w:ascii="Times New Roman" w:hAnsi="Times New Roman" w:cs="Times New Roman"/>
            <w:sz w:val="24"/>
            <w:szCs w:val="24"/>
            <w:shd w:val="clear" w:color="auto" w:fill="FFFFFF"/>
          </w:rPr>
          <w:id w:val="510659348"/>
          <w:citation/>
        </w:sdtPr>
        <w:sdtContent>
          <w:r w:rsidR="00931116" w:rsidRPr="00650CC3">
            <w:rPr>
              <w:rFonts w:ascii="Times New Roman" w:hAnsi="Times New Roman" w:cs="Times New Roman"/>
              <w:sz w:val="24"/>
              <w:szCs w:val="24"/>
              <w:shd w:val="clear" w:color="auto" w:fill="FFFFFF"/>
            </w:rPr>
            <w:fldChar w:fldCharType="begin"/>
          </w:r>
          <w:r w:rsidR="00931116" w:rsidRPr="00650CC3">
            <w:rPr>
              <w:rFonts w:ascii="Times New Roman" w:hAnsi="Times New Roman" w:cs="Times New Roman"/>
              <w:sz w:val="24"/>
              <w:szCs w:val="24"/>
              <w:shd w:val="clear" w:color="auto" w:fill="FFFFFF"/>
            </w:rPr>
            <w:instrText xml:space="preserve"> CITATION Uni192 \l 1033 </w:instrText>
          </w:r>
          <w:r w:rsidR="00931116" w:rsidRPr="00650CC3">
            <w:rPr>
              <w:rFonts w:ascii="Times New Roman" w:hAnsi="Times New Roman" w:cs="Times New Roman"/>
              <w:sz w:val="24"/>
              <w:szCs w:val="24"/>
              <w:shd w:val="clear" w:color="auto" w:fill="FFFFFF"/>
            </w:rPr>
            <w:fldChar w:fldCharType="separate"/>
          </w:r>
          <w:r w:rsidR="00931116" w:rsidRPr="00650CC3">
            <w:rPr>
              <w:rFonts w:ascii="Times New Roman" w:hAnsi="Times New Roman" w:cs="Times New Roman"/>
              <w:noProof/>
              <w:sz w:val="24"/>
              <w:szCs w:val="24"/>
              <w:shd w:val="clear" w:color="auto" w:fill="FFFFFF"/>
            </w:rPr>
            <w:t>(United States History)</w:t>
          </w:r>
          <w:r w:rsidR="00931116" w:rsidRPr="00650CC3">
            <w:rPr>
              <w:rFonts w:ascii="Times New Roman" w:hAnsi="Times New Roman" w:cs="Times New Roman"/>
              <w:sz w:val="24"/>
              <w:szCs w:val="24"/>
              <w:shd w:val="clear" w:color="auto" w:fill="FFFFFF"/>
            </w:rPr>
            <w:fldChar w:fldCharType="end"/>
          </w:r>
        </w:sdtContent>
      </w:sdt>
      <w:r w:rsidR="00931116" w:rsidRPr="00650CC3">
        <w:rPr>
          <w:rFonts w:ascii="Times New Roman" w:hAnsi="Times New Roman" w:cs="Times New Roman"/>
          <w:sz w:val="24"/>
          <w:szCs w:val="24"/>
          <w:shd w:val="clear" w:color="auto" w:fill="FFFFFF"/>
        </w:rPr>
        <w:t xml:space="preserve">. </w:t>
      </w:r>
      <w:r w:rsidRPr="00650CC3">
        <w:rPr>
          <w:rFonts w:ascii="Times New Roman" w:hAnsi="Times New Roman" w:cs="Times New Roman"/>
          <w:sz w:val="24"/>
          <w:szCs w:val="24"/>
          <w:shd w:val="clear" w:color="auto" w:fill="FFFFFF"/>
        </w:rPr>
        <w:t>Imm</w:t>
      </w:r>
      <w:r w:rsidR="00F43FAF" w:rsidRPr="00650CC3">
        <w:rPr>
          <w:rFonts w:ascii="Times New Roman" w:hAnsi="Times New Roman" w:cs="Times New Roman"/>
          <w:sz w:val="24"/>
          <w:szCs w:val="24"/>
          <w:shd w:val="clear" w:color="auto" w:fill="FFFFFF"/>
        </w:rPr>
        <w:t xml:space="preserve">igrations in the United States between the 1840s-1860s created an influx of the poor. The immigrants carried much of the blame for a preference for alcohol, and corruption. The immigrants were classified as intemperate, and the formation of temperance activist groups aimed at the former. Those forming the groups usually came from higher classes, and included the middle class businessmen in their insistence on the elimination of alcohol as means of liberation from addiction for the impoverished immigrants </w:t>
      </w:r>
      <w:sdt>
        <w:sdtPr>
          <w:rPr>
            <w:rFonts w:ascii="Times New Roman" w:hAnsi="Times New Roman" w:cs="Times New Roman"/>
            <w:sz w:val="24"/>
            <w:szCs w:val="24"/>
            <w:shd w:val="clear" w:color="auto" w:fill="FFFFFF"/>
          </w:rPr>
          <w:id w:val="510659347"/>
          <w:citation/>
        </w:sdtPr>
        <w:sdtContent>
          <w:r w:rsidR="00F43FAF" w:rsidRPr="00650CC3">
            <w:rPr>
              <w:rFonts w:ascii="Times New Roman" w:hAnsi="Times New Roman" w:cs="Times New Roman"/>
              <w:sz w:val="24"/>
              <w:szCs w:val="24"/>
              <w:shd w:val="clear" w:color="auto" w:fill="FFFFFF"/>
            </w:rPr>
            <w:fldChar w:fldCharType="begin"/>
          </w:r>
          <w:r w:rsidR="00F43FAF" w:rsidRPr="00650CC3">
            <w:rPr>
              <w:rFonts w:ascii="Times New Roman" w:hAnsi="Times New Roman" w:cs="Times New Roman"/>
              <w:sz w:val="24"/>
              <w:szCs w:val="24"/>
              <w:shd w:val="clear" w:color="auto" w:fill="FFFFFF"/>
            </w:rPr>
            <w:instrText xml:space="preserve"> CITATION Fon14 \l 1033 </w:instrText>
          </w:r>
          <w:r w:rsidR="00F43FAF" w:rsidRPr="00650CC3">
            <w:rPr>
              <w:rFonts w:ascii="Times New Roman" w:hAnsi="Times New Roman" w:cs="Times New Roman"/>
              <w:sz w:val="24"/>
              <w:szCs w:val="24"/>
              <w:shd w:val="clear" w:color="auto" w:fill="FFFFFF"/>
            </w:rPr>
            <w:fldChar w:fldCharType="separate"/>
          </w:r>
          <w:r w:rsidR="00F43FAF" w:rsidRPr="00650CC3">
            <w:rPr>
              <w:rFonts w:ascii="Times New Roman" w:hAnsi="Times New Roman" w:cs="Times New Roman"/>
              <w:noProof/>
              <w:sz w:val="24"/>
              <w:szCs w:val="24"/>
              <w:shd w:val="clear" w:color="auto" w:fill="FFFFFF"/>
            </w:rPr>
            <w:t>(Foner, 2014)</w:t>
          </w:r>
          <w:r w:rsidR="00F43FAF" w:rsidRPr="00650CC3">
            <w:rPr>
              <w:rFonts w:ascii="Times New Roman" w:hAnsi="Times New Roman" w:cs="Times New Roman"/>
              <w:sz w:val="24"/>
              <w:szCs w:val="24"/>
              <w:shd w:val="clear" w:color="auto" w:fill="FFFFFF"/>
            </w:rPr>
            <w:fldChar w:fldCharType="end"/>
          </w:r>
        </w:sdtContent>
      </w:sdt>
      <w:r w:rsidR="00F43FAF" w:rsidRPr="00650CC3">
        <w:rPr>
          <w:rFonts w:ascii="Times New Roman" w:hAnsi="Times New Roman" w:cs="Times New Roman"/>
          <w:sz w:val="24"/>
          <w:szCs w:val="24"/>
          <w:shd w:val="clear" w:color="auto" w:fill="FFFFFF"/>
        </w:rPr>
        <w:t xml:space="preserve">. </w:t>
      </w:r>
    </w:p>
    <w:p w:rsidR="00F50D26" w:rsidRPr="00650CC3" w:rsidRDefault="00F50D26" w:rsidP="00650CC3">
      <w:pPr>
        <w:pStyle w:val="ListParagraph"/>
        <w:numPr>
          <w:ilvl w:val="0"/>
          <w:numId w:val="1"/>
        </w:numPr>
        <w:spacing w:line="480" w:lineRule="auto"/>
        <w:rPr>
          <w:rFonts w:ascii="Times New Roman" w:hAnsi="Times New Roman" w:cs="Times New Roman"/>
          <w:b/>
          <w:sz w:val="24"/>
          <w:szCs w:val="24"/>
          <w:shd w:val="clear" w:color="auto" w:fill="FFFFFF"/>
        </w:rPr>
      </w:pPr>
      <w:r w:rsidRPr="00650CC3">
        <w:rPr>
          <w:rFonts w:ascii="Times New Roman" w:hAnsi="Times New Roman" w:cs="Times New Roman"/>
          <w:b/>
          <w:sz w:val="24"/>
          <w:szCs w:val="24"/>
          <w:shd w:val="clear" w:color="auto" w:fill="FFFFFF"/>
        </w:rPr>
        <w:t xml:space="preserve">How is this significant to the history of the United States? </w:t>
      </w:r>
    </w:p>
    <w:p w:rsidR="003434CF" w:rsidRPr="00650CC3" w:rsidRDefault="00931116" w:rsidP="00650CC3">
      <w:pPr>
        <w:spacing w:line="480" w:lineRule="auto"/>
        <w:ind w:firstLine="360"/>
        <w:rPr>
          <w:rFonts w:ascii="Times New Roman" w:hAnsi="Times New Roman" w:cs="Times New Roman"/>
          <w:sz w:val="24"/>
          <w:szCs w:val="24"/>
          <w:shd w:val="clear" w:color="auto" w:fill="FFFFFF"/>
        </w:rPr>
      </w:pPr>
      <w:r w:rsidRPr="00650CC3">
        <w:rPr>
          <w:rFonts w:ascii="Times New Roman" w:hAnsi="Times New Roman" w:cs="Times New Roman"/>
          <w:sz w:val="24"/>
          <w:szCs w:val="24"/>
          <w:shd w:val="clear" w:color="auto" w:fill="FFFFFF"/>
        </w:rPr>
        <w:t xml:space="preserve">The temperance movement set up the foundation for political tactics that led to prohibition. The </w:t>
      </w:r>
      <w:r w:rsidR="008F4D9B" w:rsidRPr="00650CC3">
        <w:rPr>
          <w:rFonts w:ascii="Times New Roman" w:hAnsi="Times New Roman" w:cs="Times New Roman"/>
          <w:sz w:val="24"/>
          <w:szCs w:val="24"/>
          <w:shd w:val="clear" w:color="auto" w:fill="FFFFFF"/>
        </w:rPr>
        <w:t xml:space="preserve">progressive </w:t>
      </w:r>
      <w:r w:rsidRPr="00650CC3">
        <w:rPr>
          <w:rFonts w:ascii="Times New Roman" w:hAnsi="Times New Roman" w:cs="Times New Roman"/>
          <w:sz w:val="24"/>
          <w:szCs w:val="24"/>
          <w:shd w:val="clear" w:color="auto" w:fill="FFFFFF"/>
        </w:rPr>
        <w:t xml:space="preserve">movement is a significant era in the American history since it also opened up </w:t>
      </w:r>
      <w:r w:rsidR="008F4D9B" w:rsidRPr="00650CC3">
        <w:rPr>
          <w:rFonts w:ascii="Times New Roman" w:hAnsi="Times New Roman" w:cs="Times New Roman"/>
          <w:sz w:val="24"/>
          <w:szCs w:val="24"/>
          <w:shd w:val="clear" w:color="auto" w:fill="FFFFFF"/>
        </w:rPr>
        <w:t xml:space="preserve">legislative and activist movement for the rights of women to vote and from oppression. Given that the movement led to the legislation of prohibition, it also ascertains the important lessons </w:t>
      </w:r>
      <w:r w:rsidR="008F4D9B" w:rsidRPr="00650CC3">
        <w:rPr>
          <w:rFonts w:ascii="Times New Roman" w:hAnsi="Times New Roman" w:cs="Times New Roman"/>
          <w:sz w:val="24"/>
          <w:szCs w:val="24"/>
          <w:shd w:val="clear" w:color="auto" w:fill="FFFFFF"/>
        </w:rPr>
        <w:lastRenderedPageBreak/>
        <w:t xml:space="preserve">learnt that influence current issues such as bans on insider trading, gambling, censorship, current initiatives against access for tobacco and alcohol, and the war on drugs. </w:t>
      </w:r>
    </w:p>
    <w:p w:rsidR="00AC7C2B" w:rsidRPr="00650CC3" w:rsidRDefault="00F50D26" w:rsidP="00650CC3">
      <w:pPr>
        <w:pStyle w:val="ListParagraph"/>
        <w:numPr>
          <w:ilvl w:val="0"/>
          <w:numId w:val="1"/>
        </w:numPr>
        <w:spacing w:line="480" w:lineRule="auto"/>
        <w:rPr>
          <w:rFonts w:ascii="Times New Roman" w:hAnsi="Times New Roman" w:cs="Times New Roman"/>
          <w:b/>
          <w:sz w:val="24"/>
          <w:szCs w:val="24"/>
        </w:rPr>
      </w:pPr>
      <w:r w:rsidRPr="00650CC3">
        <w:rPr>
          <w:rFonts w:ascii="Times New Roman" w:hAnsi="Times New Roman" w:cs="Times New Roman"/>
          <w:b/>
          <w:sz w:val="24"/>
          <w:szCs w:val="24"/>
          <w:shd w:val="clear" w:color="auto" w:fill="FFFFFF"/>
        </w:rPr>
        <w:t>Describe the implementation of Prohibition, considering the exceptions, and the effects of it on society as a whole. Why did it not work?</w:t>
      </w:r>
    </w:p>
    <w:p w:rsidR="00AC7C2B" w:rsidRPr="00650CC3" w:rsidRDefault="000E2BF2" w:rsidP="00650CC3">
      <w:pPr>
        <w:spacing w:line="480" w:lineRule="auto"/>
        <w:ind w:firstLine="360"/>
        <w:rPr>
          <w:rFonts w:ascii="Times New Roman" w:hAnsi="Times New Roman" w:cs="Times New Roman"/>
          <w:sz w:val="24"/>
          <w:szCs w:val="24"/>
        </w:rPr>
      </w:pPr>
      <w:r w:rsidRPr="00650CC3">
        <w:rPr>
          <w:rFonts w:ascii="Times New Roman" w:hAnsi="Times New Roman" w:cs="Times New Roman"/>
          <w:sz w:val="24"/>
          <w:szCs w:val="24"/>
        </w:rPr>
        <w:t>As of December 1917, both houses of congress adopted the 18</w:t>
      </w:r>
      <w:r w:rsidRPr="00650CC3">
        <w:rPr>
          <w:rFonts w:ascii="Times New Roman" w:hAnsi="Times New Roman" w:cs="Times New Roman"/>
          <w:sz w:val="24"/>
          <w:szCs w:val="24"/>
          <w:vertAlign w:val="superscript"/>
        </w:rPr>
        <w:t>th</w:t>
      </w:r>
      <w:r w:rsidRPr="00650CC3">
        <w:rPr>
          <w:rFonts w:ascii="Times New Roman" w:hAnsi="Times New Roman" w:cs="Times New Roman"/>
          <w:sz w:val="24"/>
          <w:szCs w:val="24"/>
        </w:rPr>
        <w:t xml:space="preserve"> amendment to the constitution. The amendment proposed prohibition of all transportation, sale or manufacture of alcohol products. Ratification of the amendment in January 1919 achieved the necessitated two-thirds of the states. Implementation of the amendment followed passing the bill into the National Prohibition Act in October 1919, set to commence as from January 17</w:t>
      </w:r>
      <w:r w:rsidRPr="00650CC3">
        <w:rPr>
          <w:rFonts w:ascii="Times New Roman" w:hAnsi="Times New Roman" w:cs="Times New Roman"/>
          <w:sz w:val="24"/>
          <w:szCs w:val="24"/>
          <w:vertAlign w:val="superscript"/>
        </w:rPr>
        <w:t>th</w:t>
      </w:r>
      <w:r w:rsidRPr="00650CC3">
        <w:rPr>
          <w:rFonts w:ascii="Times New Roman" w:hAnsi="Times New Roman" w:cs="Times New Roman"/>
          <w:sz w:val="24"/>
          <w:szCs w:val="24"/>
        </w:rPr>
        <w:t xml:space="preserve"> of 1920. However, medicinal, industrial and sacramental uses of liquor were not prohibited. Implementation was left to the local police and the Prohibition Unit. The latter had just 3,000 agents and was required at borders to Canada and Mexico and the coastal frontier to prevent smuggling, while also investigating internal issues that did not follow the legislations. The sale of sacramental alcohol grew, and the doctors interpreted their prescriptions for alcohol loosely. Criminals established illegal drinking dens to continue the business needs served by saloons and bars. </w:t>
      </w:r>
      <w:r w:rsidR="00B332F4" w:rsidRPr="00650CC3">
        <w:rPr>
          <w:rFonts w:ascii="Times New Roman" w:hAnsi="Times New Roman" w:cs="Times New Roman"/>
          <w:sz w:val="24"/>
          <w:szCs w:val="24"/>
        </w:rPr>
        <w:t xml:space="preserve">Individuals also participated in the brewing of their illicit alcoholic products. The federal agents, judges, politicians and police fell to corruption. </w:t>
      </w:r>
    </w:p>
    <w:p w:rsidR="00650CC3" w:rsidRPr="00650CC3" w:rsidRDefault="00B332F4" w:rsidP="00650CC3">
      <w:pPr>
        <w:spacing w:line="480" w:lineRule="auto"/>
        <w:ind w:firstLine="360"/>
        <w:rPr>
          <w:rFonts w:ascii="Times New Roman" w:hAnsi="Times New Roman" w:cs="Times New Roman"/>
          <w:sz w:val="24"/>
          <w:szCs w:val="24"/>
        </w:rPr>
      </w:pPr>
      <w:r w:rsidRPr="00650CC3">
        <w:rPr>
          <w:rFonts w:ascii="Times New Roman" w:hAnsi="Times New Roman" w:cs="Times New Roman"/>
          <w:sz w:val="24"/>
          <w:szCs w:val="24"/>
        </w:rPr>
        <w:t xml:space="preserve">The enforcement of the legislation costs the government $300 million, and a consequential loss in tax revenues valued at $11 billion. The brewing industry was utterly destroyed with massive loss of jobs. </w:t>
      </w:r>
      <w:r w:rsidR="0057010E" w:rsidRPr="00650CC3">
        <w:rPr>
          <w:rFonts w:ascii="Times New Roman" w:hAnsi="Times New Roman" w:cs="Times New Roman"/>
          <w:sz w:val="24"/>
          <w:szCs w:val="24"/>
        </w:rPr>
        <w:t xml:space="preserve">The former Assistant US AG, Mabel Walker Willebrandt, conceded that it was possible to purchase alcohol, “at almost any hour of the day or night either in rural districts, </w:t>
      </w:r>
      <w:r w:rsidR="0057010E" w:rsidRPr="00650CC3">
        <w:rPr>
          <w:rFonts w:ascii="Times New Roman" w:hAnsi="Times New Roman" w:cs="Times New Roman"/>
          <w:sz w:val="24"/>
          <w:szCs w:val="24"/>
        </w:rPr>
        <w:lastRenderedPageBreak/>
        <w:t xml:space="preserve">smaller towns, or the cities </w:t>
      </w:r>
      <w:sdt>
        <w:sdtPr>
          <w:rPr>
            <w:rFonts w:ascii="Times New Roman" w:hAnsi="Times New Roman" w:cs="Times New Roman"/>
            <w:sz w:val="24"/>
            <w:szCs w:val="24"/>
          </w:rPr>
          <w:id w:val="510659351"/>
          <w:citation/>
        </w:sdtPr>
        <w:sdtContent>
          <w:r w:rsidR="0057010E" w:rsidRPr="00650CC3">
            <w:rPr>
              <w:rFonts w:ascii="Times New Roman" w:hAnsi="Times New Roman" w:cs="Times New Roman"/>
              <w:sz w:val="24"/>
              <w:szCs w:val="24"/>
            </w:rPr>
            <w:fldChar w:fldCharType="begin"/>
          </w:r>
          <w:r w:rsidR="0057010E" w:rsidRPr="00650CC3">
            <w:rPr>
              <w:rFonts w:ascii="Times New Roman" w:hAnsi="Times New Roman" w:cs="Times New Roman"/>
              <w:sz w:val="24"/>
              <w:szCs w:val="24"/>
            </w:rPr>
            <w:instrText xml:space="preserve"> CITATION Wyn19 \l 1033 </w:instrText>
          </w:r>
          <w:r w:rsidR="0057010E" w:rsidRPr="00650CC3">
            <w:rPr>
              <w:rFonts w:ascii="Times New Roman" w:hAnsi="Times New Roman" w:cs="Times New Roman"/>
              <w:sz w:val="24"/>
              <w:szCs w:val="24"/>
            </w:rPr>
            <w:fldChar w:fldCharType="separate"/>
          </w:r>
          <w:r w:rsidR="0057010E" w:rsidRPr="00650CC3">
            <w:rPr>
              <w:rFonts w:ascii="Times New Roman" w:hAnsi="Times New Roman" w:cs="Times New Roman"/>
              <w:noProof/>
              <w:sz w:val="24"/>
              <w:szCs w:val="24"/>
            </w:rPr>
            <w:t>(Wynn, 2019)</w:t>
          </w:r>
          <w:r w:rsidR="0057010E" w:rsidRPr="00650CC3">
            <w:rPr>
              <w:rFonts w:ascii="Times New Roman" w:hAnsi="Times New Roman" w:cs="Times New Roman"/>
              <w:sz w:val="24"/>
              <w:szCs w:val="24"/>
            </w:rPr>
            <w:fldChar w:fldCharType="end"/>
          </w:r>
        </w:sdtContent>
      </w:sdt>
      <w:r w:rsidR="0057010E" w:rsidRPr="00650CC3">
        <w:rPr>
          <w:rFonts w:ascii="Times New Roman" w:hAnsi="Times New Roman" w:cs="Times New Roman"/>
          <w:sz w:val="24"/>
          <w:szCs w:val="24"/>
        </w:rPr>
        <w:t>. These reasons, plus rampant corruption and an increase in the streak of arrest for drunkenness brought about the failure of Prohibition</w:t>
      </w:r>
      <w:r w:rsidR="00650CC3" w:rsidRPr="00650CC3">
        <w:rPr>
          <w:rFonts w:ascii="Times New Roman" w:hAnsi="Times New Roman" w:cs="Times New Roman"/>
          <w:sz w:val="24"/>
          <w:szCs w:val="24"/>
        </w:rPr>
        <w:t xml:space="preserve">. </w:t>
      </w:r>
    </w:p>
    <w:p w:rsidR="00650CC3" w:rsidRPr="00650CC3" w:rsidRDefault="00650CC3" w:rsidP="00650CC3">
      <w:pPr>
        <w:spacing w:line="480" w:lineRule="auto"/>
        <w:rPr>
          <w:rFonts w:ascii="Times New Roman" w:hAnsi="Times New Roman" w:cs="Times New Roman"/>
          <w:sz w:val="24"/>
          <w:szCs w:val="24"/>
        </w:rPr>
      </w:pPr>
      <w:r w:rsidRPr="00650CC3">
        <w:rPr>
          <w:rFonts w:ascii="Times New Roman" w:hAnsi="Times New Roman" w:cs="Times New Roman"/>
          <w:sz w:val="24"/>
          <w:szCs w:val="24"/>
        </w:rPr>
        <w:br w:type="page"/>
      </w:r>
    </w:p>
    <w:sdt>
      <w:sdtPr>
        <w:rPr>
          <w:rFonts w:ascii="Times New Roman" w:hAnsi="Times New Roman" w:cs="Times New Roman"/>
          <w:color w:val="auto"/>
          <w:sz w:val="24"/>
          <w:szCs w:val="24"/>
        </w:rPr>
        <w:id w:val="510659352"/>
        <w:docPartObj>
          <w:docPartGallery w:val="Bibliographies"/>
          <w:docPartUnique/>
        </w:docPartObj>
      </w:sdtPr>
      <w:sdtEndPr>
        <w:rPr>
          <w:rFonts w:eastAsiaTheme="minorEastAsia"/>
          <w:b w:val="0"/>
          <w:bCs w:val="0"/>
          <w:lang w:bidi="ar-SA"/>
        </w:rPr>
      </w:sdtEndPr>
      <w:sdtContent>
        <w:p w:rsidR="00650CC3" w:rsidRPr="00650CC3" w:rsidRDefault="00650CC3" w:rsidP="00650CC3">
          <w:pPr>
            <w:pStyle w:val="Heading1"/>
            <w:spacing w:line="480" w:lineRule="auto"/>
            <w:jc w:val="center"/>
            <w:rPr>
              <w:rFonts w:ascii="Times New Roman" w:hAnsi="Times New Roman" w:cs="Times New Roman"/>
              <w:color w:val="auto"/>
              <w:sz w:val="24"/>
              <w:szCs w:val="24"/>
            </w:rPr>
          </w:pPr>
          <w:r w:rsidRPr="00650CC3">
            <w:rPr>
              <w:rFonts w:ascii="Times New Roman" w:hAnsi="Times New Roman" w:cs="Times New Roman"/>
              <w:color w:val="auto"/>
              <w:sz w:val="24"/>
              <w:szCs w:val="24"/>
            </w:rPr>
            <w:t>References</w:t>
          </w:r>
        </w:p>
        <w:sdt>
          <w:sdtPr>
            <w:rPr>
              <w:rFonts w:ascii="Times New Roman" w:hAnsi="Times New Roman" w:cs="Times New Roman"/>
              <w:sz w:val="24"/>
              <w:szCs w:val="24"/>
            </w:rPr>
            <w:id w:val="111145805"/>
            <w:bibliography/>
          </w:sdtPr>
          <w:sdtContent>
            <w:p w:rsidR="00650CC3" w:rsidRPr="00650CC3" w:rsidRDefault="00650CC3" w:rsidP="00650CC3">
              <w:pPr>
                <w:pStyle w:val="Bibliography"/>
                <w:spacing w:line="480" w:lineRule="auto"/>
                <w:ind w:left="720" w:hanging="720"/>
                <w:rPr>
                  <w:rFonts w:ascii="Times New Roman" w:hAnsi="Times New Roman" w:cs="Times New Roman"/>
                  <w:noProof/>
                  <w:sz w:val="24"/>
                  <w:szCs w:val="24"/>
                </w:rPr>
              </w:pPr>
              <w:r w:rsidRPr="00650CC3">
                <w:rPr>
                  <w:rFonts w:ascii="Times New Roman" w:hAnsi="Times New Roman" w:cs="Times New Roman"/>
                  <w:sz w:val="24"/>
                  <w:szCs w:val="24"/>
                </w:rPr>
                <w:fldChar w:fldCharType="begin"/>
              </w:r>
              <w:r w:rsidRPr="00650CC3">
                <w:rPr>
                  <w:rFonts w:ascii="Times New Roman" w:hAnsi="Times New Roman" w:cs="Times New Roman"/>
                  <w:sz w:val="24"/>
                  <w:szCs w:val="24"/>
                </w:rPr>
                <w:instrText xml:space="preserve"> BIBLIOGRAPHY </w:instrText>
              </w:r>
              <w:r w:rsidRPr="00650CC3">
                <w:rPr>
                  <w:rFonts w:ascii="Times New Roman" w:hAnsi="Times New Roman" w:cs="Times New Roman"/>
                  <w:sz w:val="24"/>
                  <w:szCs w:val="24"/>
                </w:rPr>
                <w:fldChar w:fldCharType="separate"/>
              </w:r>
              <w:r w:rsidRPr="00650CC3">
                <w:rPr>
                  <w:rFonts w:ascii="Times New Roman" w:hAnsi="Times New Roman" w:cs="Times New Roman"/>
                  <w:noProof/>
                  <w:sz w:val="24"/>
                  <w:szCs w:val="24"/>
                </w:rPr>
                <w:t xml:space="preserve">Bishop-Henchman, J. (2011, October 5). </w:t>
              </w:r>
              <w:r w:rsidRPr="00650CC3">
                <w:rPr>
                  <w:rFonts w:ascii="Times New Roman" w:hAnsi="Times New Roman" w:cs="Times New Roman"/>
                  <w:i/>
                  <w:iCs/>
                  <w:noProof/>
                  <w:sz w:val="24"/>
                  <w:szCs w:val="24"/>
                </w:rPr>
                <w:t>How Taxes Enabled Alcohol Prohibition and Also Led to its repeal</w:t>
              </w:r>
              <w:r w:rsidRPr="00650CC3">
                <w:rPr>
                  <w:rFonts w:ascii="Times New Roman" w:hAnsi="Times New Roman" w:cs="Times New Roman"/>
                  <w:noProof/>
                  <w:sz w:val="24"/>
                  <w:szCs w:val="24"/>
                </w:rPr>
                <w:t>. Retrieved September 9, 2019, from Tax Foundation.org: https://taxfoundation.org/how-taxes-enabled-alcohol-prohibition-and-also-led-its-repeal/</w:t>
              </w:r>
            </w:p>
            <w:p w:rsidR="00650CC3" w:rsidRPr="00650CC3" w:rsidRDefault="00650CC3" w:rsidP="00650CC3">
              <w:pPr>
                <w:pStyle w:val="Bibliography"/>
                <w:spacing w:line="480" w:lineRule="auto"/>
                <w:ind w:left="720" w:hanging="720"/>
                <w:rPr>
                  <w:rFonts w:ascii="Times New Roman" w:hAnsi="Times New Roman" w:cs="Times New Roman"/>
                  <w:noProof/>
                  <w:sz w:val="24"/>
                  <w:szCs w:val="24"/>
                </w:rPr>
              </w:pPr>
              <w:r w:rsidRPr="00650CC3">
                <w:rPr>
                  <w:rFonts w:ascii="Times New Roman" w:hAnsi="Times New Roman" w:cs="Times New Roman"/>
                  <w:noProof/>
                  <w:sz w:val="24"/>
                  <w:szCs w:val="24"/>
                </w:rPr>
                <w:t xml:space="preserve">DPLA. (n.d.). </w:t>
              </w:r>
              <w:r w:rsidRPr="00650CC3">
                <w:rPr>
                  <w:rFonts w:ascii="Times New Roman" w:hAnsi="Times New Roman" w:cs="Times New Roman"/>
                  <w:i/>
                  <w:iCs/>
                  <w:noProof/>
                  <w:sz w:val="24"/>
                  <w:szCs w:val="24"/>
                </w:rPr>
                <w:t>Women and the Temperance Movement</w:t>
              </w:r>
              <w:r w:rsidRPr="00650CC3">
                <w:rPr>
                  <w:rFonts w:ascii="Times New Roman" w:hAnsi="Times New Roman" w:cs="Times New Roman"/>
                  <w:noProof/>
                  <w:sz w:val="24"/>
                  <w:szCs w:val="24"/>
                </w:rPr>
                <w:t>. Retrieved September 9, 2019, from Digital Pubic Library of America: https://dp.la/primary-source-sets/women-and-the-temperance-movement</w:t>
              </w:r>
            </w:p>
            <w:p w:rsidR="00650CC3" w:rsidRPr="00650CC3" w:rsidRDefault="00650CC3" w:rsidP="00650CC3">
              <w:pPr>
                <w:pStyle w:val="Bibliography"/>
                <w:spacing w:line="480" w:lineRule="auto"/>
                <w:ind w:left="720" w:hanging="720"/>
                <w:rPr>
                  <w:rFonts w:ascii="Times New Roman" w:hAnsi="Times New Roman" w:cs="Times New Roman"/>
                  <w:noProof/>
                  <w:sz w:val="24"/>
                  <w:szCs w:val="24"/>
                </w:rPr>
              </w:pPr>
              <w:r w:rsidRPr="00650CC3">
                <w:rPr>
                  <w:rFonts w:ascii="Times New Roman" w:hAnsi="Times New Roman" w:cs="Times New Roman"/>
                  <w:noProof/>
                  <w:sz w:val="24"/>
                  <w:szCs w:val="24"/>
                </w:rPr>
                <w:t xml:space="preserve">Engel, K. (2019, June 22). </w:t>
              </w:r>
              <w:r w:rsidRPr="00650CC3">
                <w:rPr>
                  <w:rFonts w:ascii="Times New Roman" w:hAnsi="Times New Roman" w:cs="Times New Roman"/>
                  <w:i/>
                  <w:iCs/>
                  <w:noProof/>
                  <w:sz w:val="24"/>
                  <w:szCs w:val="24"/>
                </w:rPr>
                <w:t>Women's Suffrae and Prohibition: Strange Allies</w:t>
              </w:r>
              <w:r w:rsidRPr="00650CC3">
                <w:rPr>
                  <w:rFonts w:ascii="Times New Roman" w:hAnsi="Times New Roman" w:cs="Times New Roman"/>
                  <w:noProof/>
                  <w:sz w:val="24"/>
                  <w:szCs w:val="24"/>
                </w:rPr>
                <w:t>. Retrieved September 9, 2019, from Amazing Women History: https://amazingwomeninhistory.com/womens-suffrage-and-temperance-movement/</w:t>
              </w:r>
            </w:p>
            <w:p w:rsidR="00650CC3" w:rsidRPr="00650CC3" w:rsidRDefault="00650CC3" w:rsidP="00650CC3">
              <w:pPr>
                <w:pStyle w:val="Bibliography"/>
                <w:spacing w:line="480" w:lineRule="auto"/>
                <w:ind w:left="720" w:hanging="720"/>
                <w:rPr>
                  <w:rFonts w:ascii="Times New Roman" w:hAnsi="Times New Roman" w:cs="Times New Roman"/>
                  <w:noProof/>
                  <w:sz w:val="24"/>
                  <w:szCs w:val="24"/>
                </w:rPr>
              </w:pPr>
              <w:r w:rsidRPr="00650CC3">
                <w:rPr>
                  <w:rFonts w:ascii="Times New Roman" w:hAnsi="Times New Roman" w:cs="Times New Roman"/>
                  <w:noProof/>
                  <w:sz w:val="24"/>
                  <w:szCs w:val="24"/>
                </w:rPr>
                <w:t xml:space="preserve">Foner, E. (2014). </w:t>
              </w:r>
              <w:r w:rsidRPr="00650CC3">
                <w:rPr>
                  <w:rFonts w:ascii="Times New Roman" w:hAnsi="Times New Roman" w:cs="Times New Roman"/>
                  <w:i/>
                  <w:iCs/>
                  <w:noProof/>
                  <w:sz w:val="24"/>
                  <w:szCs w:val="24"/>
                </w:rPr>
                <w:t>Give Me Liberty: An American History</w:t>
              </w:r>
              <w:r w:rsidRPr="00650CC3">
                <w:rPr>
                  <w:rFonts w:ascii="Times New Roman" w:hAnsi="Times New Roman" w:cs="Times New Roman"/>
                  <w:noProof/>
                  <w:sz w:val="24"/>
                  <w:szCs w:val="24"/>
                </w:rPr>
                <w:t xml:space="preserve"> (4 ed.). New York: W. W. Norton.</w:t>
              </w:r>
            </w:p>
            <w:p w:rsidR="00650CC3" w:rsidRPr="00650CC3" w:rsidRDefault="00650CC3" w:rsidP="00650CC3">
              <w:pPr>
                <w:pStyle w:val="Bibliography"/>
                <w:spacing w:line="480" w:lineRule="auto"/>
                <w:ind w:left="720" w:hanging="720"/>
                <w:rPr>
                  <w:rFonts w:ascii="Times New Roman" w:hAnsi="Times New Roman" w:cs="Times New Roman"/>
                  <w:noProof/>
                  <w:sz w:val="24"/>
                  <w:szCs w:val="24"/>
                </w:rPr>
              </w:pPr>
              <w:r w:rsidRPr="00650CC3">
                <w:rPr>
                  <w:rFonts w:ascii="Times New Roman" w:hAnsi="Times New Roman" w:cs="Times New Roman"/>
                  <w:noProof/>
                  <w:sz w:val="24"/>
                  <w:szCs w:val="24"/>
                </w:rPr>
                <w:t xml:space="preserve">The Mob Museum. (n.d.). </w:t>
              </w:r>
              <w:r w:rsidRPr="00650CC3">
                <w:rPr>
                  <w:rFonts w:ascii="Times New Roman" w:hAnsi="Times New Roman" w:cs="Times New Roman"/>
                  <w:i/>
                  <w:iCs/>
                  <w:noProof/>
                  <w:sz w:val="24"/>
                  <w:szCs w:val="24"/>
                </w:rPr>
                <w:t>Women Led the Temperance Charge</w:t>
              </w:r>
              <w:r w:rsidRPr="00650CC3">
                <w:rPr>
                  <w:rFonts w:ascii="Times New Roman" w:hAnsi="Times New Roman" w:cs="Times New Roman"/>
                  <w:noProof/>
                  <w:sz w:val="24"/>
                  <w:szCs w:val="24"/>
                </w:rPr>
                <w:t>. Retrieved September 9, 2019, from The Mob Museum: http://prohibition.themobmuseum.org/the-history/the-road-to-prohibition/the-temperance-movement/</w:t>
              </w:r>
            </w:p>
            <w:p w:rsidR="00650CC3" w:rsidRPr="00650CC3" w:rsidRDefault="00650CC3" w:rsidP="00650CC3">
              <w:pPr>
                <w:pStyle w:val="Bibliography"/>
                <w:spacing w:line="480" w:lineRule="auto"/>
                <w:ind w:left="720" w:hanging="720"/>
                <w:rPr>
                  <w:rFonts w:ascii="Times New Roman" w:hAnsi="Times New Roman" w:cs="Times New Roman"/>
                  <w:noProof/>
                  <w:sz w:val="24"/>
                  <w:szCs w:val="24"/>
                </w:rPr>
              </w:pPr>
              <w:r w:rsidRPr="00650CC3">
                <w:rPr>
                  <w:rFonts w:ascii="Times New Roman" w:hAnsi="Times New Roman" w:cs="Times New Roman"/>
                  <w:noProof/>
                  <w:sz w:val="24"/>
                  <w:szCs w:val="24"/>
                </w:rPr>
                <w:t xml:space="preserve">United States History. (n.d.). </w:t>
              </w:r>
              <w:r w:rsidRPr="00650CC3">
                <w:rPr>
                  <w:rFonts w:ascii="Times New Roman" w:hAnsi="Times New Roman" w:cs="Times New Roman"/>
                  <w:i/>
                  <w:iCs/>
                  <w:noProof/>
                  <w:sz w:val="24"/>
                  <w:szCs w:val="24"/>
                </w:rPr>
                <w:t>The Temperance Movement</w:t>
              </w:r>
              <w:r w:rsidRPr="00650CC3">
                <w:rPr>
                  <w:rFonts w:ascii="Times New Roman" w:hAnsi="Times New Roman" w:cs="Times New Roman"/>
                  <w:noProof/>
                  <w:sz w:val="24"/>
                  <w:szCs w:val="24"/>
                </w:rPr>
                <w:t>. Retrieved September 9, 2019, from United States History: https://www.u-s-history.com/pages/h1054.html</w:t>
              </w:r>
            </w:p>
            <w:p w:rsidR="00650CC3" w:rsidRPr="00650CC3" w:rsidRDefault="00650CC3" w:rsidP="00650CC3">
              <w:pPr>
                <w:pStyle w:val="Bibliography"/>
                <w:spacing w:line="480" w:lineRule="auto"/>
                <w:ind w:left="720" w:hanging="720"/>
                <w:rPr>
                  <w:rFonts w:ascii="Times New Roman" w:hAnsi="Times New Roman" w:cs="Times New Roman"/>
                  <w:noProof/>
                  <w:sz w:val="24"/>
                  <w:szCs w:val="24"/>
                </w:rPr>
              </w:pPr>
              <w:r w:rsidRPr="00650CC3">
                <w:rPr>
                  <w:rFonts w:ascii="Times New Roman" w:hAnsi="Times New Roman" w:cs="Times New Roman"/>
                  <w:noProof/>
                  <w:sz w:val="24"/>
                  <w:szCs w:val="24"/>
                </w:rPr>
                <w:t xml:space="preserve">Wynn, N. (2019, January 16). </w:t>
              </w:r>
              <w:r w:rsidRPr="00650CC3">
                <w:rPr>
                  <w:rFonts w:ascii="Times New Roman" w:hAnsi="Times New Roman" w:cs="Times New Roman"/>
                  <w:i/>
                  <w:iCs/>
                  <w:noProof/>
                  <w:sz w:val="24"/>
                  <w:szCs w:val="24"/>
                </w:rPr>
                <w:t>"A Great Social Experiment": Your Guide to Prohibition</w:t>
              </w:r>
              <w:r w:rsidRPr="00650CC3">
                <w:rPr>
                  <w:rFonts w:ascii="Times New Roman" w:hAnsi="Times New Roman" w:cs="Times New Roman"/>
                  <w:noProof/>
                  <w:sz w:val="24"/>
                  <w:szCs w:val="24"/>
                </w:rPr>
                <w:t>. Retrieved September 9, 2019, from History Extra: https://www.historyextra.com/period/20th-century/prohibition-history-facts-what-when-start-why-passed-america-ban-alcohol/</w:t>
              </w:r>
            </w:p>
            <w:p w:rsidR="00650CC3" w:rsidRPr="00650CC3" w:rsidRDefault="00650CC3" w:rsidP="00650CC3">
              <w:pPr>
                <w:pStyle w:val="Bibliography"/>
                <w:spacing w:line="480" w:lineRule="auto"/>
                <w:ind w:left="720" w:hanging="720"/>
                <w:rPr>
                  <w:rFonts w:ascii="Times New Roman" w:hAnsi="Times New Roman" w:cs="Times New Roman"/>
                  <w:noProof/>
                  <w:sz w:val="24"/>
                  <w:szCs w:val="24"/>
                </w:rPr>
              </w:pPr>
              <w:r w:rsidRPr="00650CC3">
                <w:rPr>
                  <w:rFonts w:ascii="Times New Roman" w:hAnsi="Times New Roman" w:cs="Times New Roman"/>
                  <w:noProof/>
                  <w:sz w:val="24"/>
                  <w:szCs w:val="24"/>
                </w:rPr>
                <w:lastRenderedPageBreak/>
                <w:t xml:space="preserve">Yacovone, D. (1988). The Tranformation of Black Temperance. </w:t>
              </w:r>
              <w:r w:rsidRPr="00650CC3">
                <w:rPr>
                  <w:rFonts w:ascii="Times New Roman" w:hAnsi="Times New Roman" w:cs="Times New Roman"/>
                  <w:i/>
                  <w:iCs/>
                  <w:noProof/>
                  <w:sz w:val="24"/>
                  <w:szCs w:val="24"/>
                </w:rPr>
                <w:t>Journal of Early Republic</w:t>
              </w:r>
              <w:r w:rsidRPr="00650CC3">
                <w:rPr>
                  <w:rFonts w:ascii="Times New Roman" w:hAnsi="Times New Roman" w:cs="Times New Roman"/>
                  <w:noProof/>
                  <w:sz w:val="24"/>
                  <w:szCs w:val="24"/>
                </w:rPr>
                <w:t xml:space="preserve"> </w:t>
              </w:r>
              <w:r w:rsidRPr="00650CC3">
                <w:rPr>
                  <w:rFonts w:ascii="Times New Roman" w:hAnsi="Times New Roman" w:cs="Times New Roman"/>
                  <w:i/>
                  <w:iCs/>
                  <w:noProof/>
                  <w:sz w:val="24"/>
                  <w:szCs w:val="24"/>
                </w:rPr>
                <w:t>, 8</w:t>
              </w:r>
              <w:r w:rsidRPr="00650CC3">
                <w:rPr>
                  <w:rFonts w:ascii="Times New Roman" w:hAnsi="Times New Roman" w:cs="Times New Roman"/>
                  <w:noProof/>
                  <w:sz w:val="24"/>
                  <w:szCs w:val="24"/>
                </w:rPr>
                <w:t xml:space="preserve"> (3), 281-297.</w:t>
              </w:r>
            </w:p>
            <w:p w:rsidR="00650CC3" w:rsidRPr="00650CC3" w:rsidRDefault="00650CC3" w:rsidP="00650CC3">
              <w:pPr>
                <w:spacing w:line="480" w:lineRule="auto"/>
                <w:ind w:left="720" w:hanging="720"/>
                <w:rPr>
                  <w:rFonts w:ascii="Times New Roman" w:hAnsi="Times New Roman" w:cs="Times New Roman"/>
                  <w:sz w:val="24"/>
                  <w:szCs w:val="24"/>
                </w:rPr>
              </w:pPr>
              <w:r w:rsidRPr="00650CC3">
                <w:rPr>
                  <w:rFonts w:ascii="Times New Roman" w:hAnsi="Times New Roman" w:cs="Times New Roman"/>
                  <w:sz w:val="24"/>
                  <w:szCs w:val="24"/>
                </w:rPr>
                <w:fldChar w:fldCharType="end"/>
              </w:r>
            </w:p>
          </w:sdtContent>
        </w:sdt>
      </w:sdtContent>
    </w:sdt>
    <w:p w:rsidR="00B332F4" w:rsidRPr="00650CC3" w:rsidRDefault="00B332F4" w:rsidP="00650CC3">
      <w:pPr>
        <w:spacing w:line="480" w:lineRule="auto"/>
        <w:ind w:firstLine="360"/>
        <w:rPr>
          <w:rFonts w:ascii="Times New Roman" w:hAnsi="Times New Roman" w:cs="Times New Roman"/>
          <w:sz w:val="24"/>
          <w:szCs w:val="24"/>
        </w:rPr>
      </w:pPr>
    </w:p>
    <w:sectPr w:rsidR="00B332F4" w:rsidRPr="00650CC3" w:rsidSect="00650CC3">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766E8" w:rsidRDefault="00A766E8" w:rsidP="00650CC3">
      <w:pPr>
        <w:spacing w:after="0" w:line="240" w:lineRule="auto"/>
      </w:pPr>
      <w:r>
        <w:separator/>
      </w:r>
    </w:p>
  </w:endnote>
  <w:endnote w:type="continuationSeparator" w:id="1">
    <w:p w:rsidR="00A766E8" w:rsidRDefault="00A766E8" w:rsidP="00650CC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766E8" w:rsidRDefault="00A766E8" w:rsidP="00650CC3">
      <w:pPr>
        <w:spacing w:after="0" w:line="240" w:lineRule="auto"/>
      </w:pPr>
      <w:r>
        <w:separator/>
      </w:r>
    </w:p>
  </w:footnote>
  <w:footnote w:type="continuationSeparator" w:id="1">
    <w:p w:rsidR="00A766E8" w:rsidRDefault="00A766E8" w:rsidP="00650CC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0CC3" w:rsidRPr="00650CC3" w:rsidRDefault="00650CC3">
    <w:pPr>
      <w:pStyle w:val="Header"/>
      <w:jc w:val="right"/>
      <w:rPr>
        <w:rFonts w:ascii="Times New Roman" w:hAnsi="Times New Roman" w:cs="Times New Roman"/>
        <w:sz w:val="24"/>
      </w:rPr>
    </w:pPr>
    <w:r w:rsidRPr="00650CC3">
      <w:rPr>
        <w:rFonts w:ascii="Times New Roman" w:hAnsi="Times New Roman" w:cs="Times New Roman"/>
        <w:sz w:val="24"/>
      </w:rPr>
      <w:t>THE TEMPERANCE MOVEMENT AND PROHIBITION</w:t>
    </w:r>
    <w:r w:rsidRPr="00650CC3">
      <w:rPr>
        <w:rFonts w:ascii="Times New Roman" w:hAnsi="Times New Roman" w:cs="Times New Roman"/>
        <w:sz w:val="24"/>
      </w:rPr>
      <w:tab/>
    </w:r>
    <w:sdt>
      <w:sdtPr>
        <w:rPr>
          <w:rFonts w:ascii="Times New Roman" w:hAnsi="Times New Roman" w:cs="Times New Roman"/>
          <w:sz w:val="24"/>
        </w:rPr>
        <w:id w:val="510659357"/>
        <w:docPartObj>
          <w:docPartGallery w:val="Page Numbers (Top of Page)"/>
          <w:docPartUnique/>
        </w:docPartObj>
      </w:sdtPr>
      <w:sdtContent>
        <w:r w:rsidRPr="00650CC3">
          <w:rPr>
            <w:rFonts w:ascii="Times New Roman" w:hAnsi="Times New Roman" w:cs="Times New Roman"/>
            <w:sz w:val="24"/>
          </w:rPr>
          <w:fldChar w:fldCharType="begin"/>
        </w:r>
        <w:r w:rsidRPr="00650CC3">
          <w:rPr>
            <w:rFonts w:ascii="Times New Roman" w:hAnsi="Times New Roman" w:cs="Times New Roman"/>
            <w:sz w:val="24"/>
          </w:rPr>
          <w:instrText xml:space="preserve"> PAGE   \* MERGEFORMAT </w:instrText>
        </w:r>
        <w:r w:rsidRPr="00650CC3">
          <w:rPr>
            <w:rFonts w:ascii="Times New Roman" w:hAnsi="Times New Roman" w:cs="Times New Roman"/>
            <w:sz w:val="24"/>
          </w:rPr>
          <w:fldChar w:fldCharType="separate"/>
        </w:r>
        <w:r>
          <w:rPr>
            <w:rFonts w:ascii="Times New Roman" w:hAnsi="Times New Roman" w:cs="Times New Roman"/>
            <w:noProof/>
            <w:sz w:val="24"/>
          </w:rPr>
          <w:t>2</w:t>
        </w:r>
        <w:r w:rsidRPr="00650CC3">
          <w:rPr>
            <w:rFonts w:ascii="Times New Roman" w:hAnsi="Times New Roman" w:cs="Times New Roman"/>
            <w:sz w:val="24"/>
          </w:rPr>
          <w:fldChar w:fldCharType="end"/>
        </w:r>
      </w:sdtContent>
    </w:sdt>
  </w:p>
  <w:p w:rsidR="00650CC3" w:rsidRPr="00650CC3" w:rsidRDefault="00650CC3">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0CC3" w:rsidRPr="00650CC3" w:rsidRDefault="00650CC3">
    <w:pPr>
      <w:pStyle w:val="Header"/>
      <w:jc w:val="right"/>
      <w:rPr>
        <w:rFonts w:ascii="Times New Roman" w:hAnsi="Times New Roman" w:cs="Times New Roman"/>
        <w:sz w:val="24"/>
      </w:rPr>
    </w:pPr>
    <w:r w:rsidRPr="00650CC3">
      <w:rPr>
        <w:rFonts w:ascii="Times New Roman" w:hAnsi="Times New Roman" w:cs="Times New Roman"/>
        <w:sz w:val="24"/>
      </w:rPr>
      <w:t xml:space="preserve">Running Head: THE TEMPERANCE MOVEMENT AND PROHIBITION </w:t>
    </w:r>
    <w:r w:rsidRPr="00650CC3">
      <w:rPr>
        <w:rFonts w:ascii="Times New Roman" w:hAnsi="Times New Roman" w:cs="Times New Roman"/>
        <w:sz w:val="24"/>
      </w:rPr>
      <w:tab/>
    </w:r>
    <w:sdt>
      <w:sdtPr>
        <w:rPr>
          <w:rFonts w:ascii="Times New Roman" w:hAnsi="Times New Roman" w:cs="Times New Roman"/>
          <w:sz w:val="24"/>
        </w:rPr>
        <w:id w:val="510659401"/>
        <w:docPartObj>
          <w:docPartGallery w:val="Page Numbers (Top of Page)"/>
          <w:docPartUnique/>
        </w:docPartObj>
      </w:sdtPr>
      <w:sdtContent>
        <w:r w:rsidRPr="00650CC3">
          <w:rPr>
            <w:rFonts w:ascii="Times New Roman" w:hAnsi="Times New Roman" w:cs="Times New Roman"/>
            <w:sz w:val="24"/>
          </w:rPr>
          <w:fldChar w:fldCharType="begin"/>
        </w:r>
        <w:r w:rsidRPr="00650CC3">
          <w:rPr>
            <w:rFonts w:ascii="Times New Roman" w:hAnsi="Times New Roman" w:cs="Times New Roman"/>
            <w:sz w:val="24"/>
          </w:rPr>
          <w:instrText xml:space="preserve"> PAGE   \* MERGEFORMAT </w:instrText>
        </w:r>
        <w:r w:rsidRPr="00650CC3">
          <w:rPr>
            <w:rFonts w:ascii="Times New Roman" w:hAnsi="Times New Roman" w:cs="Times New Roman"/>
            <w:sz w:val="24"/>
          </w:rPr>
          <w:fldChar w:fldCharType="separate"/>
        </w:r>
        <w:r>
          <w:rPr>
            <w:rFonts w:ascii="Times New Roman" w:hAnsi="Times New Roman" w:cs="Times New Roman"/>
            <w:noProof/>
            <w:sz w:val="24"/>
          </w:rPr>
          <w:t>1</w:t>
        </w:r>
        <w:r w:rsidRPr="00650CC3">
          <w:rPr>
            <w:rFonts w:ascii="Times New Roman" w:hAnsi="Times New Roman" w:cs="Times New Roman"/>
            <w:sz w:val="24"/>
          </w:rPr>
          <w:fldChar w:fldCharType="end"/>
        </w:r>
      </w:sdtContent>
    </w:sdt>
  </w:p>
  <w:p w:rsidR="00650CC3" w:rsidRPr="00650CC3" w:rsidRDefault="00650CC3">
    <w:pPr>
      <w:pStyle w:val="Header"/>
      <w:rPr>
        <w:rFonts w:ascii="Times New Roman" w:hAnsi="Times New Roman" w:cs="Times New Roman"/>
        <w:sz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DA3713"/>
    <w:multiLevelType w:val="hybridMultilevel"/>
    <w:tmpl w:val="D2B4E74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F50D26"/>
    <w:rsid w:val="000E2BF2"/>
    <w:rsid w:val="003434CF"/>
    <w:rsid w:val="00356FC6"/>
    <w:rsid w:val="00493DB8"/>
    <w:rsid w:val="005040B6"/>
    <w:rsid w:val="0057010E"/>
    <w:rsid w:val="00650CC3"/>
    <w:rsid w:val="007439AE"/>
    <w:rsid w:val="007470B2"/>
    <w:rsid w:val="007B3C6E"/>
    <w:rsid w:val="008F4D9B"/>
    <w:rsid w:val="00931116"/>
    <w:rsid w:val="009C7995"/>
    <w:rsid w:val="009D7A3B"/>
    <w:rsid w:val="00A766E8"/>
    <w:rsid w:val="00AC7C2B"/>
    <w:rsid w:val="00B332F4"/>
    <w:rsid w:val="00B34DA5"/>
    <w:rsid w:val="00B579D6"/>
    <w:rsid w:val="00B62C60"/>
    <w:rsid w:val="00C15644"/>
    <w:rsid w:val="00CC4E34"/>
    <w:rsid w:val="00CD25AA"/>
    <w:rsid w:val="00D97300"/>
    <w:rsid w:val="00F43FAF"/>
    <w:rsid w:val="00F50D2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50CC3"/>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434CF"/>
    <w:pPr>
      <w:ind w:left="720"/>
      <w:contextualSpacing/>
    </w:pPr>
  </w:style>
  <w:style w:type="paragraph" w:styleId="BalloonText">
    <w:name w:val="Balloon Text"/>
    <w:basedOn w:val="Normal"/>
    <w:link w:val="BalloonTextChar"/>
    <w:uiPriority w:val="99"/>
    <w:semiHidden/>
    <w:unhideWhenUsed/>
    <w:rsid w:val="00356FC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56FC6"/>
    <w:rPr>
      <w:rFonts w:ascii="Tahoma" w:hAnsi="Tahoma" w:cs="Tahoma"/>
      <w:sz w:val="16"/>
      <w:szCs w:val="16"/>
    </w:rPr>
  </w:style>
  <w:style w:type="character" w:customStyle="1" w:styleId="Heading1Char">
    <w:name w:val="Heading 1 Char"/>
    <w:basedOn w:val="DefaultParagraphFont"/>
    <w:link w:val="Heading1"/>
    <w:uiPriority w:val="9"/>
    <w:rsid w:val="00650CC3"/>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650CC3"/>
  </w:style>
  <w:style w:type="paragraph" w:styleId="Header">
    <w:name w:val="header"/>
    <w:basedOn w:val="Normal"/>
    <w:link w:val="HeaderChar"/>
    <w:uiPriority w:val="99"/>
    <w:unhideWhenUsed/>
    <w:rsid w:val="00650C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0CC3"/>
  </w:style>
  <w:style w:type="paragraph" w:styleId="Footer">
    <w:name w:val="footer"/>
    <w:basedOn w:val="Normal"/>
    <w:link w:val="FooterChar"/>
    <w:uiPriority w:val="99"/>
    <w:semiHidden/>
    <w:unhideWhenUsed/>
    <w:rsid w:val="00650CC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50CC3"/>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Bis11</b:Tag>
    <b:SourceType>InternetSite</b:SourceType>
    <b:Guid>{E2DCF789-7E52-4DB0-8DEF-B5F8F5E0B26E}</b:Guid>
    <b:LCID>0</b:LCID>
    <b:Author>
      <b:Author>
        <b:NameList>
          <b:Person>
            <b:Last>Bishop-Henchman</b:Last>
            <b:First>Jseph</b:First>
          </b:Person>
        </b:NameList>
      </b:Author>
    </b:Author>
    <b:Title>How Taxes Enabled Alcohol Prohibition and Also Led to its repeal</b:Title>
    <b:Year>2011</b:Year>
    <b:InternetSiteTitle>Tax Foundation.org</b:InternetSiteTitle>
    <b:Month>October</b:Month>
    <b:Day>5</b:Day>
    <b:YearAccessed>2019</b:YearAccessed>
    <b:MonthAccessed>September</b:MonthAccessed>
    <b:DayAccessed>9</b:DayAccessed>
    <b:URL>https://taxfoundation.org/how-taxes-enabled-alcohol-prohibition-and-also-led-its-repeal/</b:URL>
    <b:RefOrder>3</b:RefOrder>
  </b:Source>
  <b:Source>
    <b:Tag>Eng19</b:Tag>
    <b:SourceType>InternetSite</b:SourceType>
    <b:Guid>{9815660E-51FD-47CB-87B4-36854C98FD90}</b:Guid>
    <b:LCID>0</b:LCID>
    <b:Author>
      <b:Author>
        <b:NameList>
          <b:Person>
            <b:Last>Engel</b:Last>
            <b:First>Keri</b:First>
          </b:Person>
        </b:NameList>
      </b:Author>
    </b:Author>
    <b:Title>Women's Suffrae and Prohibition: Strange Allies</b:Title>
    <b:InternetSiteTitle>Amazing Women History</b:InternetSiteTitle>
    <b:Year>2019</b:Year>
    <b:Month>June</b:Month>
    <b:Day>22</b:Day>
    <b:YearAccessed>2019</b:YearAccessed>
    <b:MonthAccessed>September</b:MonthAccessed>
    <b:DayAccessed>9</b:DayAccessed>
    <b:URL>https://amazingwomeninhistory.com/womens-suffrage-and-temperance-movement/</b:URL>
    <b:RefOrder>5</b:RefOrder>
  </b:Source>
  <b:Source>
    <b:Tag>Yac88</b:Tag>
    <b:SourceType>JournalArticle</b:SourceType>
    <b:Guid>{9B05C000-2779-4427-AFF0-654F2633386D}</b:Guid>
    <b:LCID>0</b:LCID>
    <b:Author>
      <b:Author>
        <b:NameList>
          <b:Person>
            <b:Last>Yacovone</b:Last>
            <b:First>Donald</b:First>
          </b:Person>
        </b:NameList>
      </b:Author>
    </b:Author>
    <b:Title>The Tranformation of Black Temperance</b:Title>
    <b:JournalName>Journal of Early Republic</b:JournalName>
    <b:Year>1988</b:Year>
    <b:Pages>281-297</b:Pages>
    <b:Volume>8</b:Volume>
    <b:Issue>3</b:Issue>
    <b:RefOrder>4</b:RefOrder>
  </b:Source>
  <b:Source>
    <b:Tag>Fon14</b:Tag>
    <b:SourceType>Book</b:SourceType>
    <b:Guid>{3A724764-5F34-4E69-94B6-7486DD555919}</b:Guid>
    <b:LCID>0</b:LCID>
    <b:Author>
      <b:Author>
        <b:NameList>
          <b:Person>
            <b:Last>Foner</b:Last>
            <b:First>Eric</b:First>
          </b:Person>
        </b:NameList>
      </b:Author>
    </b:Author>
    <b:Title>Give Me Liberty: An American History</b:Title>
    <b:Year>2014</b:Year>
    <b:City>New York</b:City>
    <b:Publisher>W. W. Norton</b:Publisher>
    <b:ShortTitle>Print</b:ShortTitle>
    <b:Edition>4</b:Edition>
    <b:RefOrder>7</b:RefOrder>
  </b:Source>
  <b:Source>
    <b:Tag>Uni192</b:Tag>
    <b:SourceType>InternetSite</b:SourceType>
    <b:Guid>{8A34D98F-5B4A-4C39-ABA8-FFC1B13CF02E}</b:Guid>
    <b:LCID>0</b:LCID>
    <b:Author>
      <b:Author>
        <b:Corporate>United States History</b:Corporate>
      </b:Author>
    </b:Author>
    <b:Title>The Temperance Movement</b:Title>
    <b:InternetSiteTitle>United States History</b:InternetSiteTitle>
    <b:YearAccessed>2019</b:YearAccessed>
    <b:MonthAccessed>September</b:MonthAccessed>
    <b:DayAccessed>9</b:DayAccessed>
    <b:URL>https://www.u-s-history.com/pages/h1054.html</b:URL>
    <b:RefOrder>6</b:RefOrder>
  </b:Source>
  <b:Source>
    <b:Tag>The192</b:Tag>
    <b:SourceType>InternetSite</b:SourceType>
    <b:Guid>{269C4617-FAF1-410C-A711-B7CFFBDA2B88}</b:Guid>
    <b:LCID>0</b:LCID>
    <b:Author>
      <b:Author>
        <b:Corporate>The Mob Museum</b:Corporate>
      </b:Author>
    </b:Author>
    <b:Title>Women Led the Temperance Charge</b:Title>
    <b:InternetSiteTitle>The Mob Museum</b:InternetSiteTitle>
    <b:YearAccessed>2019</b:YearAccessed>
    <b:MonthAccessed>September</b:MonthAccessed>
    <b:DayAccessed>9</b:DayAccessed>
    <b:URL>http://prohibition.themobmuseum.org/the-history/the-road-to-prohibition/the-temperance-movement/</b:URL>
    <b:RefOrder>2</b:RefOrder>
  </b:Source>
  <b:Source>
    <b:Tag>DPL19</b:Tag>
    <b:SourceType>InternetSite</b:SourceType>
    <b:Guid>{8E847CE6-2145-4A65-9A90-A8F82447B9E2}</b:Guid>
    <b:LCID>0</b:LCID>
    <b:Author>
      <b:Author>
        <b:Corporate>DPLA</b:Corporate>
      </b:Author>
    </b:Author>
    <b:Title>Women and the Temperance Movement</b:Title>
    <b:InternetSiteTitle>Digital Pubic Library of America</b:InternetSiteTitle>
    <b:YearAccessed>2019</b:YearAccessed>
    <b:MonthAccessed>September</b:MonthAccessed>
    <b:DayAccessed>9</b:DayAccessed>
    <b:URL>https://dp.la/primary-source-sets/women-and-the-temperance-movement</b:URL>
    <b:RefOrder>1</b:RefOrder>
  </b:Source>
  <b:Source>
    <b:Tag>Wyn19</b:Tag>
    <b:SourceType>InternetSite</b:SourceType>
    <b:Guid>{742AAE9F-127B-4991-9CA2-84E89496FE62}</b:Guid>
    <b:LCID>0</b:LCID>
    <b:Author>
      <b:Author>
        <b:NameList>
          <b:Person>
            <b:Last>Wynn</b:Last>
            <b:First>Neil</b:First>
          </b:Person>
        </b:NameList>
      </b:Author>
    </b:Author>
    <b:Title>"A Great Social Experiment": Your Guide to Prohibition</b:Title>
    <b:InternetSiteTitle>History Extra</b:InternetSiteTitle>
    <b:Year>2019</b:Year>
    <b:Month>January</b:Month>
    <b:Day>16</b:Day>
    <b:YearAccessed>2019</b:YearAccessed>
    <b:MonthAccessed>September</b:MonthAccessed>
    <b:DayAccessed>9</b:DayAccessed>
    <b:URL>https://www.historyextra.com/period/20th-century/prohibition-history-facts-what-when-start-why-passed-america-ban-alcohol/</b:URL>
    <b:RefOrder>8</b:RefOrder>
  </b:Source>
</b:Sources>
</file>

<file path=customXml/itemProps1.xml><?xml version="1.0" encoding="utf-8"?>
<ds:datastoreItem xmlns:ds="http://schemas.openxmlformats.org/officeDocument/2006/customXml" ds:itemID="{CB148981-A00B-4FB3-9671-FD35BFDA4C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638</TotalTime>
  <Pages>9</Pages>
  <Words>1703</Words>
  <Characters>9708</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11</cp:revision>
  <dcterms:created xsi:type="dcterms:W3CDTF">2019-09-09T08:31:00Z</dcterms:created>
  <dcterms:modified xsi:type="dcterms:W3CDTF">2019-09-09T19:09:00Z</dcterms:modified>
</cp:coreProperties>
</file>